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C6" w:rsidRDefault="007354C6" w:rsidP="007354C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E798C" wp14:editId="2379B625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334385" cy="1167765"/>
                <wp:effectExtent l="0" t="0" r="18415" b="139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4C6" w:rsidRDefault="007354C6" w:rsidP="007354C6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7F50983" wp14:editId="5E7A9019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AE7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62.55pt;height:9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" strokecolor="white [3212]">
                <v:textbox style="mso-fit-shape-to-text:t">
                  <w:txbxContent>
                    <w:p w:rsidR="007354C6" w:rsidRDefault="007354C6" w:rsidP="007354C6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7F50983" wp14:editId="5E7A9019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54C6" w:rsidRDefault="007354C6" w:rsidP="007354C6"/>
    <w:p w:rsidR="007354C6" w:rsidRDefault="007354C6" w:rsidP="007354C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D6B75" wp14:editId="28201BF5">
                <wp:simplePos x="0" y="0"/>
                <wp:positionH relativeFrom="column">
                  <wp:posOffset>-1400810</wp:posOffset>
                </wp:positionH>
                <wp:positionV relativeFrom="paragraph">
                  <wp:posOffset>236220</wp:posOffset>
                </wp:positionV>
                <wp:extent cx="8296910" cy="351790"/>
                <wp:effectExtent l="0" t="0" r="2794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6910" cy="351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CCFDD8" id="Rectangle 3" o:spid="_x0000_s1026" style="position:absolute;margin-left:-110.3pt;margin-top:18.6pt;width:653.3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" fillcolor="black [3213]"/>
            </w:pict>
          </mc:Fallback>
        </mc:AlternateContent>
      </w:r>
    </w:p>
    <w:p w:rsidR="007354C6" w:rsidRDefault="007354C6" w:rsidP="007354C6"/>
    <w:p w:rsidR="007354C6" w:rsidRPr="004E097F" w:rsidRDefault="007354C6" w:rsidP="007354C6">
      <w:pPr>
        <w:pStyle w:val="Heading1"/>
      </w:pPr>
      <w:r w:rsidRPr="004E097F">
        <w:rPr>
          <w:sz w:val="28"/>
          <w:szCs w:val="28"/>
        </w:rPr>
        <w:t xml:space="preserve">Consumer Advisory Group Suggestions and Responses-From the </w:t>
      </w:r>
      <w:r>
        <w:rPr>
          <w:sz w:val="28"/>
          <w:szCs w:val="28"/>
        </w:rPr>
        <w:t>11/07/14</w:t>
      </w:r>
      <w:r w:rsidRPr="004E097F">
        <w:rPr>
          <w:sz w:val="28"/>
          <w:szCs w:val="28"/>
        </w:rPr>
        <w:t xml:space="preserve"> meeting</w:t>
      </w:r>
      <w:r w:rsidRPr="004E097F">
        <w:rPr>
          <w:sz w:val="28"/>
        </w:rPr>
        <w:t xml:space="preserve">.  </w:t>
      </w:r>
    </w:p>
    <w:p w:rsidR="007354C6" w:rsidRDefault="007354C6" w:rsidP="007354C6">
      <w:pPr>
        <w:rPr>
          <w:b/>
          <w:sz w:val="28"/>
        </w:rPr>
      </w:pPr>
    </w:p>
    <w:p w:rsidR="00441497" w:rsidRDefault="00126D36" w:rsidP="00126D36">
      <w:pPr>
        <w:pStyle w:val="ListParagraph"/>
        <w:numPr>
          <w:ilvl w:val="0"/>
          <w:numId w:val="8"/>
        </w:numPr>
      </w:pPr>
      <w:r w:rsidRPr="00126D36">
        <w:rPr>
          <w:b/>
        </w:rPr>
        <w:t xml:space="preserve">Provide an application on </w:t>
      </w:r>
      <w:proofErr w:type="spellStart"/>
      <w:r w:rsidRPr="00126D36">
        <w:rPr>
          <w:b/>
        </w:rPr>
        <w:t>HealthCost</w:t>
      </w:r>
      <w:proofErr w:type="spellEnd"/>
      <w:r w:rsidRPr="00126D36">
        <w:rPr>
          <w:b/>
        </w:rPr>
        <w:t xml:space="preserve"> </w:t>
      </w:r>
      <w:r w:rsidR="0075327D" w:rsidRPr="00126D36">
        <w:rPr>
          <w:b/>
        </w:rPr>
        <w:t xml:space="preserve">to translate </w:t>
      </w:r>
      <w:r w:rsidRPr="00126D36">
        <w:rPr>
          <w:b/>
        </w:rPr>
        <w:t>the site into</w:t>
      </w:r>
      <w:r w:rsidR="0075327D" w:rsidRPr="00126D36">
        <w:rPr>
          <w:b/>
        </w:rPr>
        <w:t xml:space="preserve"> other languages including sign language</w:t>
      </w:r>
      <w:r>
        <w:t>.</w:t>
      </w:r>
    </w:p>
    <w:p w:rsidR="00126D36" w:rsidRDefault="00126D36" w:rsidP="00126D36">
      <w:pPr>
        <w:pStyle w:val="ListParagraph"/>
      </w:pPr>
    </w:p>
    <w:p w:rsidR="00126D36" w:rsidRDefault="00126D36" w:rsidP="00126D36">
      <w:pPr>
        <w:pStyle w:val="ListParagraph"/>
      </w:pPr>
      <w:r>
        <w:t xml:space="preserve">We </w:t>
      </w:r>
      <w:r w:rsidR="005320E2">
        <w:t>are investigating using</w:t>
      </w:r>
      <w:r>
        <w:t xml:space="preserve"> Google Translate. If feedback is positive, we can consider adding it to </w:t>
      </w:r>
      <w:proofErr w:type="spellStart"/>
      <w:r>
        <w:t>HealthCost</w:t>
      </w:r>
      <w:proofErr w:type="spellEnd"/>
      <w:r>
        <w:t>.</w:t>
      </w:r>
    </w:p>
    <w:p w:rsidR="00126D36" w:rsidRDefault="00126D36" w:rsidP="00126D36">
      <w:pPr>
        <w:pStyle w:val="ListParagraph"/>
      </w:pPr>
    </w:p>
    <w:p w:rsidR="00126D36" w:rsidRPr="00126D36" w:rsidRDefault="00126D36" w:rsidP="00126D36">
      <w:pPr>
        <w:pStyle w:val="ListParagraph"/>
        <w:numPr>
          <w:ilvl w:val="0"/>
          <w:numId w:val="8"/>
        </w:numPr>
      </w:pPr>
      <w:r>
        <w:rPr>
          <w:b/>
        </w:rPr>
        <w:t>Focus on ease of access.</w:t>
      </w:r>
    </w:p>
    <w:p w:rsidR="00126D36" w:rsidRDefault="00126D36" w:rsidP="00126D36">
      <w:pPr>
        <w:pStyle w:val="ListParagraph"/>
        <w:rPr>
          <w:b/>
        </w:rPr>
      </w:pPr>
    </w:p>
    <w:p w:rsidR="00126D36" w:rsidRDefault="00126D36" w:rsidP="00126D36">
      <w:pPr>
        <w:pStyle w:val="ListParagraph"/>
      </w:pPr>
      <w:r>
        <w:t xml:space="preserve">We have taken all your feedback on </w:t>
      </w:r>
      <w:proofErr w:type="spellStart"/>
      <w:r>
        <w:t>HealthCost</w:t>
      </w:r>
      <w:proofErr w:type="spellEnd"/>
      <w:r>
        <w:t xml:space="preserve"> into consideration when redesigning the site and have made several modifications in terms of navigation and the display of cost information, among other things</w:t>
      </w:r>
    </w:p>
    <w:p w:rsidR="000179E3" w:rsidRDefault="000179E3" w:rsidP="00126D36">
      <w:pPr>
        <w:pStyle w:val="ListParagraph"/>
      </w:pPr>
    </w:p>
    <w:p w:rsidR="00126D36" w:rsidRPr="00126D36" w:rsidRDefault="00126D36" w:rsidP="00126D36">
      <w:pPr>
        <w:pStyle w:val="ListParagraph"/>
        <w:numPr>
          <w:ilvl w:val="0"/>
          <w:numId w:val="8"/>
        </w:numPr>
        <w:rPr>
          <w:b/>
        </w:rPr>
      </w:pPr>
      <w:r w:rsidRPr="00126D36">
        <w:rPr>
          <w:b/>
        </w:rPr>
        <w:t>Proposed website statement of purpose:</w:t>
      </w:r>
    </w:p>
    <w:p w:rsidR="0075327D" w:rsidRPr="0006141E" w:rsidRDefault="0075327D" w:rsidP="00126D36">
      <w:pPr>
        <w:ind w:left="720"/>
        <w:rPr>
          <w:b/>
        </w:rPr>
      </w:pPr>
      <w:r w:rsidRPr="0006141E">
        <w:rPr>
          <w:b/>
        </w:rPr>
        <w:t>The website provides up-to-date, easy to understand, and easy to use information for all Maine people about how much mental and physical health services cost and the highest quality providers.</w:t>
      </w:r>
    </w:p>
    <w:p w:rsidR="0075327D" w:rsidRPr="0006141E" w:rsidRDefault="0075327D" w:rsidP="00126D36">
      <w:pPr>
        <w:numPr>
          <w:ilvl w:val="1"/>
          <w:numId w:val="5"/>
        </w:numPr>
        <w:spacing w:after="0" w:line="240" w:lineRule="auto"/>
        <w:ind w:left="1800"/>
        <w:rPr>
          <w:b/>
        </w:rPr>
      </w:pPr>
      <w:r w:rsidRPr="0006141E">
        <w:rPr>
          <w:b/>
        </w:rPr>
        <w:t>Based on the legislative mandate</w:t>
      </w:r>
    </w:p>
    <w:p w:rsidR="0075327D" w:rsidRPr="0006141E" w:rsidRDefault="0075327D" w:rsidP="00126D36">
      <w:pPr>
        <w:numPr>
          <w:ilvl w:val="1"/>
          <w:numId w:val="5"/>
        </w:numPr>
        <w:spacing w:after="0" w:line="240" w:lineRule="auto"/>
        <w:ind w:left="1800"/>
        <w:rPr>
          <w:b/>
        </w:rPr>
      </w:pPr>
      <w:r w:rsidRPr="0006141E">
        <w:rPr>
          <w:b/>
        </w:rPr>
        <w:t>Accessible by all people on all devices</w:t>
      </w:r>
    </w:p>
    <w:p w:rsidR="0075327D" w:rsidRPr="0006141E" w:rsidRDefault="0075327D" w:rsidP="00126D36">
      <w:pPr>
        <w:numPr>
          <w:ilvl w:val="1"/>
          <w:numId w:val="5"/>
        </w:numPr>
        <w:spacing w:after="0" w:line="240" w:lineRule="auto"/>
        <w:ind w:left="1800"/>
        <w:rPr>
          <w:b/>
        </w:rPr>
      </w:pPr>
      <w:r w:rsidRPr="0006141E">
        <w:rPr>
          <w:b/>
        </w:rPr>
        <w:t>Includes mental health and behavioral health data</w:t>
      </w:r>
    </w:p>
    <w:p w:rsidR="0075327D" w:rsidRPr="0006141E" w:rsidRDefault="0075327D" w:rsidP="00126D36">
      <w:pPr>
        <w:numPr>
          <w:ilvl w:val="1"/>
          <w:numId w:val="5"/>
        </w:numPr>
        <w:spacing w:after="0" w:line="240" w:lineRule="auto"/>
        <w:ind w:left="1800"/>
        <w:rPr>
          <w:b/>
        </w:rPr>
      </w:pPr>
      <w:r w:rsidRPr="0006141E">
        <w:rPr>
          <w:b/>
        </w:rPr>
        <w:t>The purpose is to influence lower cost and higher quality services</w:t>
      </w:r>
    </w:p>
    <w:p w:rsidR="0075327D" w:rsidRDefault="0075327D" w:rsidP="00126D36">
      <w:pPr>
        <w:numPr>
          <w:ilvl w:val="1"/>
          <w:numId w:val="5"/>
        </w:numPr>
        <w:spacing w:after="0" w:line="240" w:lineRule="auto"/>
        <w:ind w:left="1800"/>
        <w:rPr>
          <w:b/>
        </w:rPr>
      </w:pPr>
      <w:r w:rsidRPr="0006141E">
        <w:rPr>
          <w:b/>
        </w:rPr>
        <w:t>The website needs to provide rationale and encouragement to others</w:t>
      </w:r>
    </w:p>
    <w:p w:rsidR="000B7F68" w:rsidRDefault="000B7F68" w:rsidP="000B7F68">
      <w:pPr>
        <w:spacing w:after="0" w:line="240" w:lineRule="auto"/>
        <w:rPr>
          <w:b/>
        </w:rPr>
      </w:pPr>
    </w:p>
    <w:p w:rsidR="00126D36" w:rsidRDefault="00126D36" w:rsidP="00126D36">
      <w:pPr>
        <w:spacing w:after="0" w:line="240" w:lineRule="auto"/>
        <w:ind w:left="720"/>
      </w:pPr>
      <w:r>
        <w:t>We will reference this statement of purpose while working on the site</w:t>
      </w:r>
      <w:r w:rsidR="000179E3">
        <w:t>.</w:t>
      </w:r>
      <w:r>
        <w:t xml:space="preserve"> </w:t>
      </w:r>
    </w:p>
    <w:p w:rsidR="00126D36" w:rsidRDefault="00126D36" w:rsidP="00126D36">
      <w:pPr>
        <w:spacing w:after="0" w:line="240" w:lineRule="auto"/>
      </w:pPr>
    </w:p>
    <w:p w:rsidR="000B7F68" w:rsidRDefault="000B7F68" w:rsidP="00126D36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126D36">
        <w:rPr>
          <w:b/>
        </w:rPr>
        <w:t>Provide examples of websites using personas</w:t>
      </w:r>
    </w:p>
    <w:p w:rsidR="00534590" w:rsidRDefault="00534590" w:rsidP="00534590">
      <w:pPr>
        <w:pStyle w:val="ListParagraph"/>
        <w:spacing w:after="0" w:line="240" w:lineRule="auto"/>
        <w:rPr>
          <w:b/>
        </w:rPr>
      </w:pPr>
    </w:p>
    <w:p w:rsidR="00534590" w:rsidRDefault="00534590" w:rsidP="00534590">
      <w:pPr>
        <w:pStyle w:val="ListParagraph"/>
        <w:spacing w:after="0" w:line="240" w:lineRule="auto"/>
      </w:pPr>
      <w:r>
        <w:t>Personas are typically used behind the scenes to develop the final website that visitors see</w:t>
      </w:r>
      <w:r w:rsidR="00074C64">
        <w:t>, so it is hard to pick a specific website as an example</w:t>
      </w:r>
      <w:r>
        <w:t>. This link provide</w:t>
      </w:r>
      <w:r w:rsidR="00074C64">
        <w:t>s</w:t>
      </w:r>
      <w:r>
        <w:t xml:space="preserve"> more information about the use of personas in creating websites:</w:t>
      </w:r>
    </w:p>
    <w:p w:rsidR="00534590" w:rsidRDefault="000179E3" w:rsidP="00534590">
      <w:pPr>
        <w:pStyle w:val="ListParagraph"/>
        <w:numPr>
          <w:ilvl w:val="0"/>
          <w:numId w:val="9"/>
        </w:numPr>
        <w:spacing w:after="0" w:line="240" w:lineRule="auto"/>
      </w:pPr>
      <w:hyperlink r:id="rId13" w:history="1">
        <w:r w:rsidR="00534590" w:rsidRPr="00A619A7">
          <w:rPr>
            <w:rStyle w:val="Hyperlink"/>
          </w:rPr>
          <w:t>http://www.usability.gov/how-to-and-tools/methods/personas.html</w:t>
        </w:r>
      </w:hyperlink>
    </w:p>
    <w:p w:rsidR="00534590" w:rsidRDefault="00534590" w:rsidP="000F0CF6">
      <w:pPr>
        <w:spacing w:after="0" w:line="240" w:lineRule="auto"/>
      </w:pPr>
    </w:p>
    <w:p w:rsidR="000F0CF6" w:rsidRPr="001B7B11" w:rsidRDefault="000F0CF6" w:rsidP="000F0CF6">
      <w:pPr>
        <w:pStyle w:val="ListParagraph"/>
        <w:numPr>
          <w:ilvl w:val="0"/>
          <w:numId w:val="8"/>
        </w:numPr>
        <w:spacing w:after="0" w:line="240" w:lineRule="auto"/>
      </w:pPr>
      <w:r>
        <w:rPr>
          <w:b/>
        </w:rPr>
        <w:lastRenderedPageBreak/>
        <w:t xml:space="preserve">For every hospital in Maine, </w:t>
      </w:r>
      <w:r w:rsidR="005320E2">
        <w:rPr>
          <w:b/>
        </w:rPr>
        <w:t xml:space="preserve">we </w:t>
      </w:r>
      <w:r>
        <w:rPr>
          <w:b/>
        </w:rPr>
        <w:t xml:space="preserve">want to know how many </w:t>
      </w:r>
      <w:proofErr w:type="gramStart"/>
      <w:r>
        <w:rPr>
          <w:b/>
        </w:rPr>
        <w:t>had readmissions</w:t>
      </w:r>
      <w:proofErr w:type="gramEnd"/>
      <w:r>
        <w:rPr>
          <w:b/>
        </w:rPr>
        <w:t xml:space="preserve">, how many times a person went to the ER for physical health need and it was transformed into a mental health need? What is the hospital catchment area? </w:t>
      </w:r>
    </w:p>
    <w:p w:rsidR="001B7B11" w:rsidRDefault="001B7B11" w:rsidP="001B7B11">
      <w:pPr>
        <w:spacing w:after="0" w:line="240" w:lineRule="auto"/>
        <w:ind w:left="720"/>
      </w:pPr>
    </w:p>
    <w:p w:rsidR="001B7B11" w:rsidRDefault="001B7B11" w:rsidP="001B7B11">
      <w:pPr>
        <w:spacing w:after="0" w:line="240" w:lineRule="auto"/>
        <w:ind w:left="720"/>
      </w:pPr>
      <w:r>
        <w:t>On MONAHRQ, we do have information on the following readmissions:</w:t>
      </w:r>
    </w:p>
    <w:p w:rsidR="001B7B11" w:rsidRDefault="001B7B11" w:rsidP="001B7B11">
      <w:pPr>
        <w:pStyle w:val="ListParagraph"/>
        <w:numPr>
          <w:ilvl w:val="0"/>
          <w:numId w:val="9"/>
        </w:numPr>
        <w:spacing w:after="0" w:line="240" w:lineRule="auto"/>
      </w:pPr>
      <w:r>
        <w:t>Return to hospital for an unplanned reason within 30 days after discharge</w:t>
      </w:r>
    </w:p>
    <w:p w:rsidR="001B7B11" w:rsidRDefault="0051553A" w:rsidP="001B7B11">
      <w:pPr>
        <w:pStyle w:val="ListParagraph"/>
        <w:numPr>
          <w:ilvl w:val="0"/>
          <w:numId w:val="9"/>
        </w:numPr>
        <w:spacing w:after="0" w:line="240" w:lineRule="auto"/>
      </w:pPr>
      <w:r>
        <w:t>Return to hospital within 30 days after a heart attack</w:t>
      </w:r>
    </w:p>
    <w:p w:rsidR="0051553A" w:rsidRDefault="0051553A" w:rsidP="001B7B11">
      <w:pPr>
        <w:pStyle w:val="ListParagraph"/>
        <w:numPr>
          <w:ilvl w:val="0"/>
          <w:numId w:val="9"/>
        </w:numPr>
        <w:spacing w:after="0" w:line="240" w:lineRule="auto"/>
      </w:pPr>
      <w:r>
        <w:t>Return to hospital within 30 days after heart failure</w:t>
      </w:r>
    </w:p>
    <w:p w:rsidR="0051553A" w:rsidRDefault="0051553A" w:rsidP="001B7B11">
      <w:pPr>
        <w:pStyle w:val="ListParagraph"/>
        <w:numPr>
          <w:ilvl w:val="0"/>
          <w:numId w:val="9"/>
        </w:numPr>
        <w:spacing w:after="0" w:line="240" w:lineRule="auto"/>
      </w:pPr>
      <w:r>
        <w:t>Return to hospital within 30 days for pneumonia</w:t>
      </w:r>
    </w:p>
    <w:p w:rsidR="0051553A" w:rsidRDefault="0051553A" w:rsidP="00E65B77">
      <w:pPr>
        <w:spacing w:after="0" w:line="240" w:lineRule="auto"/>
        <w:ind w:left="720"/>
      </w:pPr>
    </w:p>
    <w:p w:rsidR="00E65B77" w:rsidRDefault="00E65B77" w:rsidP="00E65B77">
      <w:pPr>
        <w:spacing w:after="0" w:line="240" w:lineRule="auto"/>
        <w:ind w:left="720"/>
      </w:pPr>
      <w:r>
        <w:t>We have not looked at the claims data to determine which ER admissions were for physical or mental health needs.</w:t>
      </w:r>
    </w:p>
    <w:p w:rsidR="00E65B77" w:rsidRDefault="00E65B77" w:rsidP="00E65B77">
      <w:pPr>
        <w:spacing w:after="0" w:line="240" w:lineRule="auto"/>
        <w:ind w:left="720"/>
      </w:pPr>
    </w:p>
    <w:p w:rsidR="00E65B77" w:rsidRPr="00E65B77" w:rsidRDefault="00E65B77" w:rsidP="000179E3">
      <w:pPr>
        <w:spacing w:after="0" w:line="240" w:lineRule="auto"/>
        <w:ind w:left="720"/>
      </w:pPr>
      <w:r>
        <w:t xml:space="preserve">MHDO uses Hospital Service Area to define catchment. You can visit this site to learn more about Hospital Service Areas: </w:t>
      </w:r>
      <w:hyperlink r:id="rId14" w:history="1">
        <w:r w:rsidRPr="0035208C">
          <w:rPr>
            <w:rStyle w:val="Hyperlink"/>
          </w:rPr>
          <w:t>http://www.dartmouthatlas.org/data/region/</w:t>
        </w:r>
      </w:hyperlink>
      <w:r>
        <w:t xml:space="preserve"> .</w:t>
      </w:r>
    </w:p>
    <w:p w:rsidR="000F0CF6" w:rsidRPr="000F0CF6" w:rsidRDefault="000F0CF6" w:rsidP="000F0CF6">
      <w:pPr>
        <w:pStyle w:val="ListParagraph"/>
        <w:rPr>
          <w:b/>
        </w:rPr>
      </w:pPr>
    </w:p>
    <w:p w:rsidR="000F0CF6" w:rsidRDefault="00E22677" w:rsidP="000F0CF6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The three major categories of interest</w:t>
      </w:r>
      <w:r w:rsidR="000179E3">
        <w:rPr>
          <w:b/>
        </w:rPr>
        <w:t xml:space="preserve"> expresses by the group</w:t>
      </w:r>
      <w:bookmarkStart w:id="0" w:name="_GoBack"/>
      <w:bookmarkEnd w:id="0"/>
      <w:r>
        <w:rPr>
          <w:b/>
        </w:rPr>
        <w:t xml:space="preserve"> for quality indicators are: patient satisfaction, infection rate (patient safety), and readmission rate.</w:t>
      </w:r>
    </w:p>
    <w:p w:rsidR="0070569A" w:rsidRDefault="0070569A" w:rsidP="0070569A">
      <w:pPr>
        <w:ind w:left="720"/>
      </w:pPr>
      <w:r>
        <w:t xml:space="preserve">We are working on incorporating quality measures in these categories into </w:t>
      </w:r>
      <w:proofErr w:type="spellStart"/>
      <w:r>
        <w:t>HealthCost</w:t>
      </w:r>
      <w:proofErr w:type="spellEnd"/>
      <w:r>
        <w:t xml:space="preserve">. </w:t>
      </w:r>
    </w:p>
    <w:p w:rsidR="0070569A" w:rsidRDefault="0070569A" w:rsidP="0070569A">
      <w:pPr>
        <w:ind w:left="720"/>
      </w:pPr>
      <w:r>
        <w:t>Several of the measures suggested are available in MONAHRQ</w:t>
      </w:r>
      <w:r w:rsidR="005320E2">
        <w:t>,</w:t>
      </w:r>
      <w:r>
        <w:t xml:space="preserve"> including: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Death rate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Infection rates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Hospital acquired conditions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Surgical complications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Patient safety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Pressure ulcers</w:t>
      </w:r>
    </w:p>
    <w:p w:rsidR="0070569A" w:rsidRDefault="0070569A" w:rsidP="0070569A">
      <w:pPr>
        <w:pStyle w:val="ListParagraph"/>
        <w:numPr>
          <w:ilvl w:val="0"/>
          <w:numId w:val="10"/>
        </w:numPr>
      </w:pPr>
      <w:r>
        <w:t>Communication between providers and patients</w:t>
      </w:r>
    </w:p>
    <w:p w:rsidR="0070569A" w:rsidRPr="0070569A" w:rsidRDefault="0070569A" w:rsidP="0070569A">
      <w:pPr>
        <w:pStyle w:val="ListParagraph"/>
        <w:numPr>
          <w:ilvl w:val="0"/>
          <w:numId w:val="10"/>
        </w:numPr>
      </w:pPr>
      <w:r>
        <w:t>Readmission rates</w:t>
      </w:r>
    </w:p>
    <w:p w:rsidR="000B7F68" w:rsidRPr="00F92E68" w:rsidRDefault="000B7F68" w:rsidP="0075327D"/>
    <w:p w:rsidR="0075327D" w:rsidRDefault="0075327D"/>
    <w:sectPr w:rsidR="0075327D" w:rsidSect="006767F0">
      <w:footerReference w:type="default" r:id="rId15"/>
      <w:footerReference w:type="first" r:id="rId16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EB" w:rsidRDefault="00074C64">
      <w:pPr>
        <w:spacing w:after="0" w:line="240" w:lineRule="auto"/>
      </w:pPr>
      <w:r>
        <w:separator/>
      </w:r>
    </w:p>
  </w:endnote>
  <w:endnote w:type="continuationSeparator" w:id="0">
    <w:p w:rsidR="005901EB" w:rsidRDefault="0007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80575"/>
      <w:docPartObj>
        <w:docPartGallery w:val="Page Numbers (Bottom of Page)"/>
        <w:docPartUnique/>
      </w:docPartObj>
    </w:sdtPr>
    <w:sdtEndPr/>
    <w:sdtContent>
      <w:p w:rsidR="006767F0" w:rsidRDefault="00386130" w:rsidP="006767F0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9E3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</w:p>
    </w:sdtContent>
  </w:sdt>
  <w:p w:rsidR="006767F0" w:rsidRDefault="00017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02" w:rsidRDefault="000179E3">
    <w:pPr>
      <w:pStyle w:val="Footer"/>
      <w:jc w:val="center"/>
    </w:pPr>
  </w:p>
  <w:p w:rsidR="00A66002" w:rsidRDefault="00017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EB" w:rsidRDefault="00074C64">
      <w:pPr>
        <w:spacing w:after="0" w:line="240" w:lineRule="auto"/>
      </w:pPr>
      <w:r>
        <w:separator/>
      </w:r>
    </w:p>
  </w:footnote>
  <w:footnote w:type="continuationSeparator" w:id="0">
    <w:p w:rsidR="005901EB" w:rsidRDefault="0007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309"/>
    <w:multiLevelType w:val="hybridMultilevel"/>
    <w:tmpl w:val="8572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679"/>
    <w:multiLevelType w:val="hybridMultilevel"/>
    <w:tmpl w:val="11F6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2BDE"/>
    <w:multiLevelType w:val="hybridMultilevel"/>
    <w:tmpl w:val="2E049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42E56"/>
    <w:multiLevelType w:val="hybridMultilevel"/>
    <w:tmpl w:val="8E0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A6A38"/>
    <w:multiLevelType w:val="hybridMultilevel"/>
    <w:tmpl w:val="4350C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31381"/>
    <w:multiLevelType w:val="hybridMultilevel"/>
    <w:tmpl w:val="DD02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4ACE"/>
    <w:multiLevelType w:val="hybridMultilevel"/>
    <w:tmpl w:val="8AC2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B0B5D"/>
    <w:multiLevelType w:val="hybridMultilevel"/>
    <w:tmpl w:val="ED522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E662F"/>
    <w:multiLevelType w:val="hybridMultilevel"/>
    <w:tmpl w:val="56569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5C2D09"/>
    <w:multiLevelType w:val="hybridMultilevel"/>
    <w:tmpl w:val="AA16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C6"/>
    <w:rsid w:val="000179E3"/>
    <w:rsid w:val="00074C64"/>
    <w:rsid w:val="000B7F68"/>
    <w:rsid w:val="000F0CF6"/>
    <w:rsid w:val="00126D36"/>
    <w:rsid w:val="001B7B11"/>
    <w:rsid w:val="00386130"/>
    <w:rsid w:val="00441497"/>
    <w:rsid w:val="0051553A"/>
    <w:rsid w:val="005320E2"/>
    <w:rsid w:val="00534590"/>
    <w:rsid w:val="005901EB"/>
    <w:rsid w:val="0070569A"/>
    <w:rsid w:val="007354C6"/>
    <w:rsid w:val="0075327D"/>
    <w:rsid w:val="00A35BBF"/>
    <w:rsid w:val="00E22677"/>
    <w:rsid w:val="00E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C6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C6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ListParagraph">
    <w:name w:val="List Paragraph"/>
    <w:basedOn w:val="Normal"/>
    <w:uiPriority w:val="34"/>
    <w:qFormat/>
    <w:rsid w:val="00735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C6"/>
    <w:rPr>
      <w:rFonts w:asciiTheme="majorHAnsi" w:eastAsiaTheme="majorEastAsia" w:hAnsiTheme="majorHAnsi" w:cstheme="majorBidi"/>
      <w:lang w:bidi="en-US"/>
    </w:rPr>
  </w:style>
  <w:style w:type="character" w:styleId="Hyperlink">
    <w:name w:val="Hyperlink"/>
    <w:basedOn w:val="DefaultParagraphFont"/>
    <w:uiPriority w:val="99"/>
    <w:unhideWhenUsed/>
    <w:rsid w:val="007354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E3"/>
    <w:rPr>
      <w:rFonts w:ascii="Tahoma" w:eastAsiaTheme="maj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C6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C6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ListParagraph">
    <w:name w:val="List Paragraph"/>
    <w:basedOn w:val="Normal"/>
    <w:uiPriority w:val="34"/>
    <w:qFormat/>
    <w:rsid w:val="00735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C6"/>
    <w:rPr>
      <w:rFonts w:asciiTheme="majorHAnsi" w:eastAsiaTheme="majorEastAsia" w:hAnsiTheme="majorHAnsi" w:cstheme="majorBidi"/>
      <w:lang w:bidi="en-US"/>
    </w:rPr>
  </w:style>
  <w:style w:type="character" w:styleId="Hyperlink">
    <w:name w:val="Hyperlink"/>
    <w:basedOn w:val="DefaultParagraphFont"/>
    <w:uiPriority w:val="99"/>
    <w:unhideWhenUsed/>
    <w:rsid w:val="007354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E3"/>
    <w:rPr>
      <w:rFonts w:ascii="Tahoma" w:eastAsiaTheme="maj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ability.gov/how-to-and-tools/methods/persona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hdo.maine.gov/imhdo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hdo.maine.gov/imhdo/" TargetMode="External"/><Relationship Id="rId14" Type="http://schemas.openxmlformats.org/officeDocument/2006/relationships/hyperlink" Target="http://www.dartmouthatlas.org/data/reg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241B-A009-41A9-AE88-F9293E24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Mulcahy</dc:creator>
  <cp:lastModifiedBy>Harrington, Karynlee</cp:lastModifiedBy>
  <cp:revision>2</cp:revision>
  <dcterms:created xsi:type="dcterms:W3CDTF">2015-01-09T13:55:00Z</dcterms:created>
  <dcterms:modified xsi:type="dcterms:W3CDTF">2015-01-09T13:55:00Z</dcterms:modified>
</cp:coreProperties>
</file>