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C1E" w:rsidRDefault="008C4C1E" w:rsidP="00CE1754">
      <w:pPr>
        <w:spacing w:after="960"/>
        <w:rPr>
          <w:sz w:val="28"/>
        </w:rPr>
      </w:pPr>
      <w:r>
        <w:rPr>
          <w:noProof/>
        </w:rPr>
        <w:drawing>
          <wp:inline distT="0" distB="0" distL="0" distR="0" wp14:anchorId="482971FD" wp14:editId="7906DE3C">
            <wp:extent cx="1905000" cy="571500"/>
            <wp:effectExtent l="0" t="0" r="0" b="0"/>
            <wp:docPr id="1" name="Picture 1" descr="logo of information, insight, impr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 information, insight, improvemen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rsidR="008C4C1E" w:rsidRDefault="008C4C1E" w:rsidP="00CE1754">
      <w:pPr>
        <w:spacing w:after="960"/>
        <w:rPr>
          <w:sz w:val="40"/>
        </w:rPr>
      </w:pPr>
    </w:p>
    <w:p w:rsidR="00102B3E" w:rsidRDefault="00102B3E" w:rsidP="00CE1754">
      <w:pPr>
        <w:spacing w:after="960"/>
        <w:rPr>
          <w:sz w:val="40"/>
        </w:rPr>
      </w:pPr>
      <w:r w:rsidRPr="008C4C1E">
        <w:rPr>
          <w:sz w:val="40"/>
        </w:rPr>
        <w:t xml:space="preserve">Summary of Changes to Chapter 270:  </w:t>
      </w:r>
      <w:r w:rsidRPr="008C4C1E">
        <w:rPr>
          <w:sz w:val="40"/>
        </w:rPr>
        <w:br/>
        <w:t xml:space="preserve">The Maine Health Data Organization’s </w:t>
      </w:r>
      <w:r w:rsidRPr="008C4C1E">
        <w:rPr>
          <w:sz w:val="40"/>
        </w:rPr>
        <w:br/>
        <w:t>Uniform Reporting System for Quality Data Sets</w:t>
      </w:r>
    </w:p>
    <w:p w:rsidR="008C4C1E" w:rsidRDefault="008C4C1E" w:rsidP="008C4C1E">
      <w:pPr>
        <w:pStyle w:val="Default"/>
        <w:spacing w:before="1300"/>
        <w:rPr>
          <w:rFonts w:ascii="Arial" w:hAnsi="Arial" w:cs="Arial"/>
          <w:color w:val="auto"/>
          <w:sz w:val="32"/>
          <w:szCs w:val="32"/>
        </w:rPr>
      </w:pPr>
      <w:r w:rsidRPr="008C4C1E">
        <w:rPr>
          <w:rFonts w:ascii="Arial" w:hAnsi="Arial" w:cs="Arial"/>
          <w:color w:val="auto"/>
          <w:sz w:val="32"/>
          <w:szCs w:val="32"/>
        </w:rPr>
        <w:t>November 2013</w:t>
      </w:r>
    </w:p>
    <w:p w:rsidR="00BA1E8D" w:rsidRDefault="00BA1E8D" w:rsidP="002C2064">
      <w:pPr>
        <w:autoSpaceDE/>
        <w:autoSpaceDN/>
        <w:adjustRightInd/>
        <w:spacing w:before="3000"/>
        <w:ind w:left="990"/>
        <w:rPr>
          <w:rFonts w:ascii="Arial" w:hAnsi="Arial" w:cs="Arial"/>
          <w:sz w:val="28"/>
          <w:szCs w:val="32"/>
        </w:rPr>
      </w:pPr>
      <w:r>
        <w:rPr>
          <w:rFonts w:ascii="Arial" w:hAnsi="Arial" w:cs="Arial"/>
          <w:sz w:val="28"/>
          <w:szCs w:val="32"/>
        </w:rPr>
        <w:t>Please address any questions or suggestions to:</w:t>
      </w:r>
    </w:p>
    <w:p w:rsidR="00BA1E8D" w:rsidRPr="00BA1E8D" w:rsidRDefault="00BA1E8D" w:rsidP="002C2064">
      <w:pPr>
        <w:autoSpaceDE/>
        <w:autoSpaceDN/>
        <w:adjustRightInd/>
        <w:spacing w:before="360"/>
        <w:ind w:left="990"/>
        <w:rPr>
          <w:rFonts w:ascii="Arial" w:hAnsi="Arial" w:cs="Arial"/>
          <w:sz w:val="22"/>
          <w:szCs w:val="32"/>
        </w:rPr>
      </w:pPr>
      <w:r w:rsidRPr="00BA1E8D">
        <w:rPr>
          <w:rFonts w:ascii="Arial" w:hAnsi="Arial" w:cs="Arial"/>
          <w:sz w:val="22"/>
          <w:szCs w:val="32"/>
        </w:rPr>
        <w:t>Kimberly Wing</w:t>
      </w:r>
      <w:r>
        <w:rPr>
          <w:rFonts w:ascii="Arial" w:hAnsi="Arial" w:cs="Arial"/>
          <w:sz w:val="22"/>
          <w:szCs w:val="32"/>
        </w:rPr>
        <w:br/>
        <w:t xml:space="preserve">Maine Health Data Organization </w:t>
      </w:r>
      <w:r>
        <w:rPr>
          <w:rFonts w:ascii="Arial" w:hAnsi="Arial" w:cs="Arial"/>
          <w:sz w:val="22"/>
          <w:szCs w:val="32"/>
        </w:rPr>
        <w:br/>
      </w:r>
      <w:r w:rsidRPr="00BA1E8D">
        <w:rPr>
          <w:rFonts w:ascii="Arial" w:hAnsi="Arial" w:cs="Arial"/>
          <w:sz w:val="22"/>
          <w:szCs w:val="32"/>
        </w:rPr>
        <w:t>Kimberly.Wing@maine.gov</w:t>
      </w:r>
      <w:r>
        <w:rPr>
          <w:rFonts w:ascii="Arial" w:hAnsi="Arial" w:cs="Arial"/>
          <w:sz w:val="22"/>
          <w:szCs w:val="32"/>
        </w:rPr>
        <w:br/>
        <w:t xml:space="preserve">Telephone:  </w:t>
      </w:r>
      <w:r w:rsidRPr="00BA1E8D">
        <w:rPr>
          <w:rFonts w:ascii="Arial" w:hAnsi="Arial" w:cs="Arial"/>
          <w:sz w:val="22"/>
          <w:szCs w:val="32"/>
        </w:rPr>
        <w:t>(207) 287-6722</w:t>
      </w:r>
    </w:p>
    <w:p w:rsidR="00BA1E8D" w:rsidRDefault="001A374E">
      <w:pPr>
        <w:autoSpaceDE/>
        <w:autoSpaceDN/>
        <w:adjustRightInd/>
        <w:spacing w:before="0"/>
        <w:rPr>
          <w:rFonts w:ascii="Arial" w:hAnsi="Arial" w:cs="Arial"/>
          <w:sz w:val="32"/>
          <w:szCs w:val="32"/>
        </w:rPr>
      </w:pPr>
      <w:r>
        <w:rPr>
          <w:rFonts w:ascii="Arial" w:hAnsi="Arial" w:cs="Arial"/>
          <w:sz w:val="32"/>
          <w:szCs w:val="32"/>
        </w:rPr>
        <w:br w:type="page"/>
      </w:r>
    </w:p>
    <w:sdt>
      <w:sdtPr>
        <w:rPr>
          <w:rFonts w:ascii="Arial" w:hAnsi="Arial" w:cs="Arial"/>
          <w:b/>
          <w:bCs/>
          <w:sz w:val="28"/>
          <w:szCs w:val="28"/>
        </w:rPr>
        <w:id w:val="-388190865"/>
        <w:docPartObj>
          <w:docPartGallery w:val="Table of Contents"/>
          <w:docPartUnique/>
        </w:docPartObj>
      </w:sdtPr>
      <w:sdtEndPr>
        <w:rPr>
          <w:rFonts w:ascii="Times New Roman" w:hAnsi="Times New Roman" w:cs="Times New Roman"/>
          <w:b w:val="0"/>
          <w:bCs w:val="0"/>
          <w:noProof/>
          <w:sz w:val="24"/>
          <w:szCs w:val="24"/>
        </w:rPr>
      </w:sdtEndPr>
      <w:sdtContent>
        <w:p w:rsidR="00CE2CE0" w:rsidRPr="00885219" w:rsidRDefault="00CE2CE0" w:rsidP="00885219">
          <w:pPr>
            <w:rPr>
              <w:rFonts w:ascii="Arial" w:hAnsi="Arial" w:cs="Arial"/>
              <w:b/>
              <w:sz w:val="28"/>
              <w:szCs w:val="28"/>
            </w:rPr>
          </w:pPr>
          <w:r w:rsidRPr="00885219">
            <w:rPr>
              <w:rFonts w:ascii="Arial" w:hAnsi="Arial" w:cs="Arial"/>
              <w:b/>
              <w:sz w:val="28"/>
              <w:szCs w:val="28"/>
            </w:rPr>
            <w:t>Table of Contents</w:t>
          </w:r>
        </w:p>
        <w:p w:rsidR="00885219" w:rsidRDefault="00CE2CE0">
          <w:pPr>
            <w:pStyle w:val="TOC1"/>
            <w:rPr>
              <w:rFonts w:asciiTheme="minorHAnsi" w:eastAsiaTheme="minorEastAsia" w:hAnsiTheme="minorHAnsi" w:cstheme="minorBidi"/>
              <w:noProof/>
              <w:sz w:val="22"/>
              <w:szCs w:val="22"/>
            </w:rPr>
          </w:pPr>
          <w:r>
            <w:fldChar w:fldCharType="begin"/>
          </w:r>
          <w:r>
            <w:instrText xml:space="preserve"> TOC \o "1-4" \h \z \u </w:instrText>
          </w:r>
          <w:r>
            <w:fldChar w:fldCharType="separate"/>
          </w:r>
          <w:hyperlink w:anchor="_Toc373233384" w:history="1">
            <w:r w:rsidR="00885219" w:rsidRPr="002A7E3A">
              <w:rPr>
                <w:rStyle w:val="Hyperlink"/>
                <w:noProof/>
              </w:rPr>
              <w:t>Introduction</w:t>
            </w:r>
            <w:r w:rsidR="00885219">
              <w:rPr>
                <w:noProof/>
                <w:webHidden/>
              </w:rPr>
              <w:tab/>
            </w:r>
            <w:r w:rsidR="00885219">
              <w:rPr>
                <w:noProof/>
                <w:webHidden/>
              </w:rPr>
              <w:fldChar w:fldCharType="begin"/>
            </w:r>
            <w:r w:rsidR="00885219">
              <w:rPr>
                <w:noProof/>
                <w:webHidden/>
              </w:rPr>
              <w:instrText xml:space="preserve"> PAGEREF _Toc373233384 \h </w:instrText>
            </w:r>
            <w:r w:rsidR="00885219">
              <w:rPr>
                <w:noProof/>
                <w:webHidden/>
              </w:rPr>
            </w:r>
            <w:r w:rsidR="00885219">
              <w:rPr>
                <w:noProof/>
                <w:webHidden/>
              </w:rPr>
              <w:fldChar w:fldCharType="separate"/>
            </w:r>
            <w:r w:rsidR="00885219">
              <w:rPr>
                <w:noProof/>
                <w:webHidden/>
              </w:rPr>
              <w:t>3</w:t>
            </w:r>
            <w:r w:rsidR="00885219">
              <w:rPr>
                <w:noProof/>
                <w:webHidden/>
              </w:rPr>
              <w:fldChar w:fldCharType="end"/>
            </w:r>
          </w:hyperlink>
        </w:p>
        <w:p w:rsidR="00885219" w:rsidRDefault="00885219">
          <w:pPr>
            <w:pStyle w:val="TOC1"/>
            <w:rPr>
              <w:rFonts w:asciiTheme="minorHAnsi" w:eastAsiaTheme="minorEastAsia" w:hAnsiTheme="minorHAnsi" w:cstheme="minorBidi"/>
              <w:noProof/>
              <w:sz w:val="22"/>
              <w:szCs w:val="22"/>
            </w:rPr>
          </w:pPr>
          <w:hyperlink w:anchor="_Toc373233385" w:history="1">
            <w:r w:rsidRPr="002A7E3A">
              <w:rPr>
                <w:rStyle w:val="Hyperlink"/>
                <w:noProof/>
              </w:rPr>
              <w:t>Important N</w:t>
            </w:r>
            <w:r w:rsidRPr="002A7E3A">
              <w:rPr>
                <w:rStyle w:val="Hyperlink"/>
                <w:smallCaps/>
                <w:noProof/>
              </w:rPr>
              <w:t>otices</w:t>
            </w:r>
            <w:r>
              <w:rPr>
                <w:noProof/>
                <w:webHidden/>
              </w:rPr>
              <w:tab/>
            </w:r>
            <w:r>
              <w:rPr>
                <w:noProof/>
                <w:webHidden/>
              </w:rPr>
              <w:fldChar w:fldCharType="begin"/>
            </w:r>
            <w:r>
              <w:rPr>
                <w:noProof/>
                <w:webHidden/>
              </w:rPr>
              <w:instrText xml:space="preserve"> PAGEREF _Toc373233385 \h </w:instrText>
            </w:r>
            <w:r>
              <w:rPr>
                <w:noProof/>
                <w:webHidden/>
              </w:rPr>
            </w:r>
            <w:r>
              <w:rPr>
                <w:noProof/>
                <w:webHidden/>
              </w:rPr>
              <w:fldChar w:fldCharType="separate"/>
            </w:r>
            <w:r>
              <w:rPr>
                <w:noProof/>
                <w:webHidden/>
              </w:rPr>
              <w:t>5</w:t>
            </w:r>
            <w:r>
              <w:rPr>
                <w:noProof/>
                <w:webHidden/>
              </w:rPr>
              <w:fldChar w:fldCharType="end"/>
            </w:r>
          </w:hyperlink>
        </w:p>
        <w:p w:rsidR="00885219" w:rsidRDefault="00885219">
          <w:pPr>
            <w:pStyle w:val="TOC4"/>
            <w:tabs>
              <w:tab w:val="left" w:pos="1320"/>
            </w:tabs>
            <w:rPr>
              <w:rFonts w:asciiTheme="minorHAnsi" w:eastAsiaTheme="minorEastAsia" w:hAnsiTheme="minorHAnsi" w:cstheme="minorBidi"/>
              <w:noProof/>
              <w:sz w:val="22"/>
              <w:szCs w:val="22"/>
            </w:rPr>
          </w:pPr>
          <w:hyperlink w:anchor="_Toc373233386" w:history="1">
            <w:r w:rsidRPr="002A7E3A">
              <w:rPr>
                <w:rStyle w:val="Hyperlink"/>
                <w:noProof/>
              </w:rPr>
              <w:t>1)</w:t>
            </w:r>
            <w:r>
              <w:rPr>
                <w:rFonts w:asciiTheme="minorHAnsi" w:eastAsiaTheme="minorEastAsia" w:hAnsiTheme="minorHAnsi" w:cstheme="minorBidi"/>
                <w:noProof/>
                <w:sz w:val="22"/>
                <w:szCs w:val="22"/>
              </w:rPr>
              <w:tab/>
            </w:r>
            <w:r w:rsidRPr="002A7E3A">
              <w:rPr>
                <w:rStyle w:val="Hyperlink"/>
                <w:noProof/>
              </w:rPr>
              <w:t>NDNQI to Stop Reporting Nursing Sensitive Indicator (NSI) data to MHDO</w:t>
            </w:r>
            <w:r>
              <w:rPr>
                <w:noProof/>
                <w:webHidden/>
              </w:rPr>
              <w:tab/>
            </w:r>
            <w:r>
              <w:rPr>
                <w:noProof/>
                <w:webHidden/>
              </w:rPr>
              <w:fldChar w:fldCharType="begin"/>
            </w:r>
            <w:r>
              <w:rPr>
                <w:noProof/>
                <w:webHidden/>
              </w:rPr>
              <w:instrText xml:space="preserve"> PAGEREF _Toc373233386 \h </w:instrText>
            </w:r>
            <w:r>
              <w:rPr>
                <w:noProof/>
                <w:webHidden/>
              </w:rPr>
            </w:r>
            <w:r>
              <w:rPr>
                <w:noProof/>
                <w:webHidden/>
              </w:rPr>
              <w:fldChar w:fldCharType="separate"/>
            </w:r>
            <w:r>
              <w:rPr>
                <w:noProof/>
                <w:webHidden/>
              </w:rPr>
              <w:t>5</w:t>
            </w:r>
            <w:r>
              <w:rPr>
                <w:noProof/>
                <w:webHidden/>
              </w:rPr>
              <w:fldChar w:fldCharType="end"/>
            </w:r>
          </w:hyperlink>
        </w:p>
        <w:p w:rsidR="00885219" w:rsidRDefault="00885219">
          <w:pPr>
            <w:pStyle w:val="TOC4"/>
            <w:tabs>
              <w:tab w:val="left" w:pos="1320"/>
            </w:tabs>
            <w:rPr>
              <w:rFonts w:asciiTheme="minorHAnsi" w:eastAsiaTheme="minorEastAsia" w:hAnsiTheme="minorHAnsi" w:cstheme="minorBidi"/>
              <w:noProof/>
              <w:sz w:val="22"/>
              <w:szCs w:val="22"/>
            </w:rPr>
          </w:pPr>
          <w:hyperlink w:anchor="_Toc373233387" w:history="1">
            <w:r w:rsidRPr="002A7E3A">
              <w:rPr>
                <w:rStyle w:val="Hyperlink"/>
                <w:noProof/>
              </w:rPr>
              <w:t>2)</w:t>
            </w:r>
            <w:r>
              <w:rPr>
                <w:rFonts w:asciiTheme="minorHAnsi" w:eastAsiaTheme="minorEastAsia" w:hAnsiTheme="minorHAnsi" w:cstheme="minorBidi"/>
                <w:noProof/>
                <w:sz w:val="22"/>
                <w:szCs w:val="22"/>
              </w:rPr>
              <w:tab/>
            </w:r>
            <w:r w:rsidRPr="002A7E3A">
              <w:rPr>
                <w:rStyle w:val="Hyperlink"/>
                <w:noProof/>
              </w:rPr>
              <w:t xml:space="preserve">Maine Psychiatric and Acute Rehabilitation hospitals are now exempt from </w:t>
            </w:r>
            <w:r>
              <w:rPr>
                <w:rStyle w:val="Hyperlink"/>
                <w:noProof/>
              </w:rPr>
              <w:br/>
            </w:r>
            <w:r w:rsidRPr="002A7E3A">
              <w:rPr>
                <w:rStyle w:val="Hyperlink"/>
                <w:noProof/>
              </w:rPr>
              <w:t>reporting the Care Transition Measure survey</w:t>
            </w:r>
            <w:r>
              <w:rPr>
                <w:noProof/>
                <w:webHidden/>
              </w:rPr>
              <w:tab/>
            </w:r>
            <w:r>
              <w:rPr>
                <w:noProof/>
                <w:webHidden/>
              </w:rPr>
              <w:fldChar w:fldCharType="begin"/>
            </w:r>
            <w:r>
              <w:rPr>
                <w:noProof/>
                <w:webHidden/>
              </w:rPr>
              <w:instrText xml:space="preserve"> PAGEREF _Toc373233387 \h </w:instrText>
            </w:r>
            <w:r>
              <w:rPr>
                <w:noProof/>
                <w:webHidden/>
              </w:rPr>
            </w:r>
            <w:r>
              <w:rPr>
                <w:noProof/>
                <w:webHidden/>
              </w:rPr>
              <w:fldChar w:fldCharType="separate"/>
            </w:r>
            <w:r>
              <w:rPr>
                <w:noProof/>
                <w:webHidden/>
              </w:rPr>
              <w:t>5</w:t>
            </w:r>
            <w:r>
              <w:rPr>
                <w:noProof/>
                <w:webHidden/>
              </w:rPr>
              <w:fldChar w:fldCharType="end"/>
            </w:r>
          </w:hyperlink>
        </w:p>
        <w:p w:rsidR="00885219" w:rsidRDefault="00885219">
          <w:pPr>
            <w:pStyle w:val="TOC4"/>
            <w:tabs>
              <w:tab w:val="left" w:pos="1320"/>
            </w:tabs>
            <w:rPr>
              <w:rFonts w:asciiTheme="minorHAnsi" w:eastAsiaTheme="minorEastAsia" w:hAnsiTheme="minorHAnsi" w:cstheme="minorBidi"/>
              <w:noProof/>
              <w:sz w:val="22"/>
              <w:szCs w:val="22"/>
            </w:rPr>
          </w:pPr>
          <w:hyperlink w:anchor="_Toc373233388" w:history="1">
            <w:r w:rsidRPr="002A7E3A">
              <w:rPr>
                <w:rStyle w:val="Hyperlink"/>
                <w:noProof/>
              </w:rPr>
              <w:t>3)</w:t>
            </w:r>
            <w:r>
              <w:rPr>
                <w:rFonts w:asciiTheme="minorHAnsi" w:eastAsiaTheme="minorEastAsia" w:hAnsiTheme="minorHAnsi" w:cstheme="minorBidi"/>
                <w:noProof/>
                <w:sz w:val="22"/>
                <w:szCs w:val="22"/>
              </w:rPr>
              <w:tab/>
            </w:r>
            <w:r w:rsidRPr="002A7E3A">
              <w:rPr>
                <w:rStyle w:val="Hyperlink"/>
                <w:noProof/>
              </w:rPr>
              <w:t xml:space="preserve">Chapter 270 no longer requires Maine hospitals to collect and submit data </w:t>
            </w:r>
            <w:r>
              <w:rPr>
                <w:rStyle w:val="Hyperlink"/>
                <w:noProof/>
              </w:rPr>
              <w:br/>
            </w:r>
            <w:r w:rsidRPr="002A7E3A">
              <w:rPr>
                <w:rStyle w:val="Hyperlink"/>
                <w:noProof/>
              </w:rPr>
              <w:t>from the Nurse Perceptions of the Culture of Patient Safety survey.</w:t>
            </w:r>
            <w:r>
              <w:rPr>
                <w:noProof/>
                <w:webHidden/>
              </w:rPr>
              <w:tab/>
            </w:r>
            <w:r>
              <w:rPr>
                <w:noProof/>
                <w:webHidden/>
              </w:rPr>
              <w:fldChar w:fldCharType="begin"/>
            </w:r>
            <w:r>
              <w:rPr>
                <w:noProof/>
                <w:webHidden/>
              </w:rPr>
              <w:instrText xml:space="preserve"> PAGEREF _Toc373233388 \h </w:instrText>
            </w:r>
            <w:r>
              <w:rPr>
                <w:noProof/>
                <w:webHidden/>
              </w:rPr>
            </w:r>
            <w:r>
              <w:rPr>
                <w:noProof/>
                <w:webHidden/>
              </w:rPr>
              <w:fldChar w:fldCharType="separate"/>
            </w:r>
            <w:r>
              <w:rPr>
                <w:noProof/>
                <w:webHidden/>
              </w:rPr>
              <w:t>5</w:t>
            </w:r>
            <w:r>
              <w:rPr>
                <w:noProof/>
                <w:webHidden/>
              </w:rPr>
              <w:fldChar w:fldCharType="end"/>
            </w:r>
          </w:hyperlink>
        </w:p>
        <w:p w:rsidR="00885219" w:rsidRDefault="00885219">
          <w:pPr>
            <w:pStyle w:val="TOC1"/>
            <w:rPr>
              <w:rFonts w:asciiTheme="minorHAnsi" w:eastAsiaTheme="minorEastAsia" w:hAnsiTheme="minorHAnsi" w:cstheme="minorBidi"/>
              <w:noProof/>
              <w:sz w:val="22"/>
              <w:szCs w:val="22"/>
            </w:rPr>
          </w:pPr>
          <w:hyperlink w:anchor="_Toc373233389" w:history="1">
            <w:r w:rsidRPr="002A7E3A">
              <w:rPr>
                <w:rStyle w:val="Hyperlink"/>
                <w:noProof/>
              </w:rPr>
              <w:t>1.</w:t>
            </w:r>
            <w:r>
              <w:rPr>
                <w:rFonts w:asciiTheme="minorHAnsi" w:eastAsiaTheme="minorEastAsia" w:hAnsiTheme="minorHAnsi" w:cstheme="minorBidi"/>
                <w:noProof/>
                <w:sz w:val="22"/>
                <w:szCs w:val="22"/>
              </w:rPr>
              <w:tab/>
            </w:r>
            <w:r w:rsidRPr="002A7E3A">
              <w:rPr>
                <w:rStyle w:val="Hyperlink"/>
                <w:noProof/>
              </w:rPr>
              <w:t>Nurse Perceptions of the Culture of Patient Safety: Hospital Survey on Patient Safety</w:t>
            </w:r>
            <w:r>
              <w:rPr>
                <w:noProof/>
                <w:webHidden/>
              </w:rPr>
              <w:tab/>
            </w:r>
            <w:r>
              <w:rPr>
                <w:noProof/>
                <w:webHidden/>
              </w:rPr>
              <w:fldChar w:fldCharType="begin"/>
            </w:r>
            <w:r>
              <w:rPr>
                <w:noProof/>
                <w:webHidden/>
              </w:rPr>
              <w:instrText xml:space="preserve"> PAGEREF _Toc373233389 \h </w:instrText>
            </w:r>
            <w:r>
              <w:rPr>
                <w:noProof/>
                <w:webHidden/>
              </w:rPr>
            </w:r>
            <w:r>
              <w:rPr>
                <w:noProof/>
                <w:webHidden/>
              </w:rPr>
              <w:fldChar w:fldCharType="separate"/>
            </w:r>
            <w:r>
              <w:rPr>
                <w:noProof/>
                <w:webHidden/>
              </w:rPr>
              <w:t>6</w:t>
            </w:r>
            <w:r>
              <w:rPr>
                <w:noProof/>
                <w:webHidden/>
              </w:rPr>
              <w:fldChar w:fldCharType="end"/>
            </w:r>
          </w:hyperlink>
        </w:p>
        <w:p w:rsidR="00885219" w:rsidRDefault="00885219" w:rsidP="00885219">
          <w:pPr>
            <w:pStyle w:val="TOC2"/>
            <w:rPr>
              <w:rFonts w:asciiTheme="minorHAnsi" w:eastAsiaTheme="minorEastAsia" w:hAnsiTheme="minorHAnsi" w:cstheme="minorBidi"/>
              <w:noProof/>
              <w:sz w:val="22"/>
              <w:szCs w:val="22"/>
            </w:rPr>
          </w:pPr>
          <w:hyperlink w:anchor="_Toc373233390" w:history="1">
            <w:r w:rsidRPr="002A7E3A">
              <w:rPr>
                <w:rStyle w:val="Hyperlink"/>
                <w:noProof/>
              </w:rPr>
              <w:t>No longer required</w:t>
            </w:r>
            <w:r>
              <w:rPr>
                <w:noProof/>
                <w:webHidden/>
              </w:rPr>
              <w:tab/>
            </w:r>
            <w:r>
              <w:rPr>
                <w:noProof/>
                <w:webHidden/>
              </w:rPr>
              <w:fldChar w:fldCharType="begin"/>
            </w:r>
            <w:r>
              <w:rPr>
                <w:noProof/>
                <w:webHidden/>
              </w:rPr>
              <w:instrText xml:space="preserve"> PAGEREF _Toc373233390 \h </w:instrText>
            </w:r>
            <w:r>
              <w:rPr>
                <w:noProof/>
                <w:webHidden/>
              </w:rPr>
            </w:r>
            <w:r>
              <w:rPr>
                <w:noProof/>
                <w:webHidden/>
              </w:rPr>
              <w:fldChar w:fldCharType="separate"/>
            </w:r>
            <w:r>
              <w:rPr>
                <w:noProof/>
                <w:webHidden/>
              </w:rPr>
              <w:t>6</w:t>
            </w:r>
            <w:r>
              <w:rPr>
                <w:noProof/>
                <w:webHidden/>
              </w:rPr>
              <w:fldChar w:fldCharType="end"/>
            </w:r>
          </w:hyperlink>
        </w:p>
        <w:p w:rsidR="00885219" w:rsidRDefault="00885219">
          <w:pPr>
            <w:pStyle w:val="TOC1"/>
            <w:rPr>
              <w:rFonts w:asciiTheme="minorHAnsi" w:eastAsiaTheme="minorEastAsia" w:hAnsiTheme="minorHAnsi" w:cstheme="minorBidi"/>
              <w:noProof/>
              <w:sz w:val="22"/>
              <w:szCs w:val="22"/>
            </w:rPr>
          </w:pPr>
          <w:hyperlink w:anchor="_Toc373233391" w:history="1">
            <w:r w:rsidRPr="002A7E3A">
              <w:rPr>
                <w:rStyle w:val="Hyperlink"/>
                <w:noProof/>
              </w:rPr>
              <w:t>2.</w:t>
            </w:r>
            <w:r>
              <w:rPr>
                <w:rFonts w:asciiTheme="minorHAnsi" w:eastAsiaTheme="minorEastAsia" w:hAnsiTheme="minorHAnsi" w:cstheme="minorBidi"/>
                <w:noProof/>
                <w:sz w:val="22"/>
                <w:szCs w:val="22"/>
              </w:rPr>
              <w:tab/>
            </w:r>
            <w:r w:rsidRPr="002A7E3A">
              <w:rPr>
                <w:rStyle w:val="Hyperlink"/>
                <w:noProof/>
              </w:rPr>
              <w:t>Healthcare associated infection (HAI) Quality Data Set</w:t>
            </w:r>
            <w:r>
              <w:rPr>
                <w:noProof/>
                <w:webHidden/>
              </w:rPr>
              <w:tab/>
            </w:r>
            <w:r>
              <w:rPr>
                <w:noProof/>
                <w:webHidden/>
              </w:rPr>
              <w:fldChar w:fldCharType="begin"/>
            </w:r>
            <w:r>
              <w:rPr>
                <w:noProof/>
                <w:webHidden/>
              </w:rPr>
              <w:instrText xml:space="preserve"> PAGEREF _Toc373233391 \h </w:instrText>
            </w:r>
            <w:r>
              <w:rPr>
                <w:noProof/>
                <w:webHidden/>
              </w:rPr>
            </w:r>
            <w:r>
              <w:rPr>
                <w:noProof/>
                <w:webHidden/>
              </w:rPr>
              <w:fldChar w:fldCharType="separate"/>
            </w:r>
            <w:r>
              <w:rPr>
                <w:noProof/>
                <w:webHidden/>
              </w:rPr>
              <w:t>7</w:t>
            </w:r>
            <w:r>
              <w:rPr>
                <w:noProof/>
                <w:webHidden/>
              </w:rPr>
              <w:fldChar w:fldCharType="end"/>
            </w:r>
          </w:hyperlink>
        </w:p>
        <w:p w:rsidR="00885219" w:rsidRDefault="00885219">
          <w:pPr>
            <w:pStyle w:val="TOC1"/>
            <w:rPr>
              <w:rFonts w:asciiTheme="minorHAnsi" w:eastAsiaTheme="minorEastAsia" w:hAnsiTheme="minorHAnsi" w:cstheme="minorBidi"/>
              <w:noProof/>
              <w:sz w:val="22"/>
              <w:szCs w:val="22"/>
            </w:rPr>
          </w:pPr>
          <w:hyperlink w:anchor="_Toc373233392" w:history="1">
            <w:r w:rsidRPr="002A7E3A">
              <w:rPr>
                <w:rStyle w:val="Hyperlink"/>
                <w:noProof/>
              </w:rPr>
              <w:t>3.</w:t>
            </w:r>
            <w:r>
              <w:rPr>
                <w:rFonts w:asciiTheme="minorHAnsi" w:eastAsiaTheme="minorEastAsia" w:hAnsiTheme="minorHAnsi" w:cstheme="minorBidi"/>
                <w:noProof/>
                <w:sz w:val="22"/>
                <w:szCs w:val="22"/>
              </w:rPr>
              <w:tab/>
            </w:r>
            <w:r w:rsidRPr="002A7E3A">
              <w:rPr>
                <w:rStyle w:val="Hyperlink"/>
                <w:noProof/>
              </w:rPr>
              <w:t>Nursing Sensitive Indicators</w:t>
            </w:r>
            <w:r>
              <w:rPr>
                <w:noProof/>
                <w:webHidden/>
              </w:rPr>
              <w:tab/>
            </w:r>
            <w:r>
              <w:rPr>
                <w:noProof/>
                <w:webHidden/>
              </w:rPr>
              <w:fldChar w:fldCharType="begin"/>
            </w:r>
            <w:r>
              <w:rPr>
                <w:noProof/>
                <w:webHidden/>
              </w:rPr>
              <w:instrText xml:space="preserve"> PAGEREF _Toc373233392 \h </w:instrText>
            </w:r>
            <w:r>
              <w:rPr>
                <w:noProof/>
                <w:webHidden/>
              </w:rPr>
            </w:r>
            <w:r>
              <w:rPr>
                <w:noProof/>
                <w:webHidden/>
              </w:rPr>
              <w:fldChar w:fldCharType="separate"/>
            </w:r>
            <w:r>
              <w:rPr>
                <w:noProof/>
                <w:webHidden/>
              </w:rPr>
              <w:t>8</w:t>
            </w:r>
            <w:r>
              <w:rPr>
                <w:noProof/>
                <w:webHidden/>
              </w:rPr>
              <w:fldChar w:fldCharType="end"/>
            </w:r>
          </w:hyperlink>
        </w:p>
        <w:p w:rsidR="00885219" w:rsidRDefault="00885219">
          <w:pPr>
            <w:pStyle w:val="TOC1"/>
            <w:rPr>
              <w:rFonts w:asciiTheme="minorHAnsi" w:eastAsiaTheme="minorEastAsia" w:hAnsiTheme="minorHAnsi" w:cstheme="minorBidi"/>
              <w:noProof/>
              <w:sz w:val="22"/>
              <w:szCs w:val="22"/>
            </w:rPr>
          </w:pPr>
          <w:hyperlink w:anchor="_Toc373233393" w:history="1">
            <w:r w:rsidRPr="002A7E3A">
              <w:rPr>
                <w:rStyle w:val="Hyperlink"/>
                <w:noProof/>
              </w:rPr>
              <w:t>4.</w:t>
            </w:r>
            <w:r>
              <w:rPr>
                <w:rFonts w:asciiTheme="minorHAnsi" w:eastAsiaTheme="minorEastAsia" w:hAnsiTheme="minorHAnsi" w:cstheme="minorBidi"/>
                <w:noProof/>
                <w:sz w:val="22"/>
                <w:szCs w:val="22"/>
              </w:rPr>
              <w:tab/>
            </w:r>
            <w:r w:rsidRPr="002A7E3A">
              <w:rPr>
                <w:rStyle w:val="Hyperlink"/>
                <w:noProof/>
              </w:rPr>
              <w:t>Care Transition Measures (CTM)</w:t>
            </w:r>
            <w:r>
              <w:rPr>
                <w:noProof/>
                <w:webHidden/>
              </w:rPr>
              <w:tab/>
            </w:r>
            <w:r>
              <w:rPr>
                <w:noProof/>
                <w:webHidden/>
              </w:rPr>
              <w:fldChar w:fldCharType="begin"/>
            </w:r>
            <w:r>
              <w:rPr>
                <w:noProof/>
                <w:webHidden/>
              </w:rPr>
              <w:instrText xml:space="preserve"> PAGEREF _Toc373233393 \h </w:instrText>
            </w:r>
            <w:r>
              <w:rPr>
                <w:noProof/>
                <w:webHidden/>
              </w:rPr>
            </w:r>
            <w:r>
              <w:rPr>
                <w:noProof/>
                <w:webHidden/>
              </w:rPr>
              <w:fldChar w:fldCharType="separate"/>
            </w:r>
            <w:r>
              <w:rPr>
                <w:noProof/>
                <w:webHidden/>
              </w:rPr>
              <w:t>9</w:t>
            </w:r>
            <w:r>
              <w:rPr>
                <w:noProof/>
                <w:webHidden/>
              </w:rPr>
              <w:fldChar w:fldCharType="end"/>
            </w:r>
          </w:hyperlink>
        </w:p>
        <w:p w:rsidR="00885219" w:rsidRDefault="00885219">
          <w:pPr>
            <w:pStyle w:val="TOC1"/>
            <w:rPr>
              <w:rFonts w:asciiTheme="minorHAnsi" w:eastAsiaTheme="minorEastAsia" w:hAnsiTheme="minorHAnsi" w:cstheme="minorBidi"/>
              <w:noProof/>
              <w:sz w:val="22"/>
              <w:szCs w:val="22"/>
            </w:rPr>
          </w:pPr>
          <w:hyperlink w:anchor="_Toc373233394" w:history="1">
            <w:r w:rsidRPr="002A7E3A">
              <w:rPr>
                <w:rStyle w:val="Hyperlink"/>
                <w:noProof/>
              </w:rPr>
              <w:t>5.</w:t>
            </w:r>
            <w:r>
              <w:rPr>
                <w:rFonts w:asciiTheme="minorHAnsi" w:eastAsiaTheme="minorEastAsia" w:hAnsiTheme="minorHAnsi" w:cstheme="minorBidi"/>
                <w:noProof/>
                <w:sz w:val="22"/>
                <w:szCs w:val="22"/>
              </w:rPr>
              <w:tab/>
            </w:r>
            <w:r w:rsidRPr="002A7E3A">
              <w:rPr>
                <w:rStyle w:val="Hyperlink"/>
                <w:noProof/>
              </w:rPr>
              <w:t>CMS Hospital Health Care Quality Data Set</w:t>
            </w:r>
            <w:r>
              <w:rPr>
                <w:noProof/>
                <w:webHidden/>
              </w:rPr>
              <w:tab/>
            </w:r>
            <w:r>
              <w:rPr>
                <w:noProof/>
                <w:webHidden/>
              </w:rPr>
              <w:fldChar w:fldCharType="begin"/>
            </w:r>
            <w:r>
              <w:rPr>
                <w:noProof/>
                <w:webHidden/>
              </w:rPr>
              <w:instrText xml:space="preserve"> PAGEREF _Toc373233394 \h </w:instrText>
            </w:r>
            <w:r>
              <w:rPr>
                <w:noProof/>
                <w:webHidden/>
              </w:rPr>
            </w:r>
            <w:r>
              <w:rPr>
                <w:noProof/>
                <w:webHidden/>
              </w:rPr>
              <w:fldChar w:fldCharType="separate"/>
            </w:r>
            <w:r>
              <w:rPr>
                <w:noProof/>
                <w:webHidden/>
              </w:rPr>
              <w:t>11</w:t>
            </w:r>
            <w:r>
              <w:rPr>
                <w:noProof/>
                <w:webHidden/>
              </w:rPr>
              <w:fldChar w:fldCharType="end"/>
            </w:r>
          </w:hyperlink>
        </w:p>
        <w:p w:rsidR="00CE2CE0" w:rsidRDefault="00CE2CE0">
          <w:r>
            <w:fldChar w:fldCharType="end"/>
          </w:r>
        </w:p>
      </w:sdtContent>
    </w:sdt>
    <w:p w:rsidR="00575DDC" w:rsidRDefault="00575DDC">
      <w:pPr>
        <w:autoSpaceDE/>
        <w:autoSpaceDN/>
        <w:adjustRightInd/>
        <w:spacing w:before="0"/>
        <w:rPr>
          <w:sz w:val="28"/>
        </w:rPr>
      </w:pPr>
      <w:r>
        <w:rPr>
          <w:sz w:val="28"/>
        </w:rPr>
        <w:br w:type="page"/>
      </w:r>
    </w:p>
    <w:p w:rsidR="001A374E" w:rsidRDefault="001A374E" w:rsidP="00260BF8">
      <w:pPr>
        <w:pStyle w:val="Heading1"/>
        <w:numPr>
          <w:ilvl w:val="0"/>
          <w:numId w:val="0"/>
        </w:numPr>
      </w:pPr>
      <w:bookmarkStart w:id="0" w:name="_Toc373233384"/>
      <w:r>
        <w:lastRenderedPageBreak/>
        <w:t>Introduction</w:t>
      </w:r>
      <w:bookmarkEnd w:id="0"/>
    </w:p>
    <w:p w:rsidR="001A374E" w:rsidRDefault="001A374E" w:rsidP="001A374E">
      <w:pPr>
        <w:spacing w:before="240"/>
      </w:pPr>
      <w:r>
        <w:t xml:space="preserve">This summer, the Maine Legislature passed, and Gov. Paul LePage approved, a number of important changes to </w:t>
      </w:r>
      <w:hyperlink r:id="rId10" w:history="1">
        <w:r w:rsidRPr="00CE1754">
          <w:rPr>
            <w:rStyle w:val="Hyperlink"/>
          </w:rPr>
          <w:t>Chapter 270</w:t>
        </w:r>
      </w:hyperlink>
      <w:r>
        <w:t xml:space="preserve">, the rules governing the Maine Health Data Organization’s (MHDO) collection of quality indicator data from Maine hospitals.  Here is brief list of the most important changes.  </w:t>
      </w:r>
    </w:p>
    <w:p w:rsidR="001A374E" w:rsidRDefault="001A374E" w:rsidP="001A374E">
      <w:pPr>
        <w:pStyle w:val="ListParagraph"/>
        <w:numPr>
          <w:ilvl w:val="0"/>
          <w:numId w:val="2"/>
        </w:numPr>
      </w:pPr>
      <w:r>
        <w:t xml:space="preserve">A number of quality indicators that were formerly collected have been dropped; </w:t>
      </w:r>
    </w:p>
    <w:p w:rsidR="001A374E" w:rsidRDefault="001A374E" w:rsidP="001A374E">
      <w:pPr>
        <w:pStyle w:val="ListParagraph"/>
        <w:numPr>
          <w:ilvl w:val="0"/>
          <w:numId w:val="2"/>
        </w:numPr>
        <w:spacing w:before="60"/>
      </w:pPr>
      <w:r>
        <w:t>Some new indicators have been added;</w:t>
      </w:r>
    </w:p>
    <w:p w:rsidR="001A374E" w:rsidRDefault="001A374E" w:rsidP="001A374E">
      <w:pPr>
        <w:pStyle w:val="ListParagraph"/>
        <w:numPr>
          <w:ilvl w:val="0"/>
          <w:numId w:val="2"/>
        </w:numPr>
        <w:spacing w:before="60"/>
      </w:pPr>
      <w:r>
        <w:t>The technical specifications of some existing indicators have been changed;</w:t>
      </w:r>
    </w:p>
    <w:p w:rsidR="001A374E" w:rsidRDefault="001A374E" w:rsidP="001A374E">
      <w:pPr>
        <w:pStyle w:val="ListParagraph"/>
        <w:numPr>
          <w:ilvl w:val="0"/>
          <w:numId w:val="2"/>
        </w:numPr>
        <w:spacing w:before="60"/>
      </w:pPr>
      <w:r>
        <w:t>Psychiatric and acute rehabilitation hospitals are no longer required to submit data for the Care Transition Measures; and</w:t>
      </w:r>
    </w:p>
    <w:p w:rsidR="001A374E" w:rsidRDefault="001A374E" w:rsidP="001A374E">
      <w:pPr>
        <w:pStyle w:val="ListParagraph"/>
        <w:numPr>
          <w:ilvl w:val="0"/>
          <w:numId w:val="2"/>
        </w:numPr>
        <w:spacing w:before="60"/>
      </w:pPr>
      <w:r>
        <w:t>Maine hospitals are no longer required to collect and submit data from the Nurse Perceptions of the Culture of Patient Safety.</w:t>
      </w:r>
    </w:p>
    <w:p w:rsidR="0012592F" w:rsidRDefault="0012592F" w:rsidP="0012592F">
      <w:r>
        <w:t xml:space="preserve">These changes and others are summarized in more detail in the following pages of this summary.  However, when preparing quality data for submission to MHDO, we recommend that you refer to more precise and authoritative sources, such as </w:t>
      </w:r>
      <w:hyperlink r:id="rId11" w:history="1">
        <w:r w:rsidRPr="00CE1754">
          <w:rPr>
            <w:rStyle w:val="Hyperlink"/>
          </w:rPr>
          <w:t>Chapter 270</w:t>
        </w:r>
      </w:hyperlink>
      <w:r>
        <w:t xml:space="preserve"> itself, and the new edition of the MHDO series of quality measure reporting </w:t>
      </w:r>
      <w:hyperlink r:id="rId12" w:history="1">
        <w:r w:rsidRPr="00A6660D">
          <w:rPr>
            <w:rStyle w:val="Hyperlink"/>
          </w:rPr>
          <w:t>Microspecifications Manuals</w:t>
        </w:r>
      </w:hyperlink>
      <w:r>
        <w:t xml:space="preserve">, which will soon be made available for </w:t>
      </w:r>
      <w:r w:rsidR="006B24FA">
        <w:t xml:space="preserve">easy </w:t>
      </w:r>
      <w:r>
        <w:t>download from the MHDO website.</w:t>
      </w:r>
    </w:p>
    <w:p w:rsidR="0012592F" w:rsidRDefault="0012592F" w:rsidP="0012592F">
      <w:r>
        <w:t xml:space="preserve">MHDO’s Microspecifications Manuals for HAI and CTM have been updated to reflect the current national technical specifications for their measures.  The </w:t>
      </w:r>
      <w:r w:rsidR="006B24FA">
        <w:t xml:space="preserve">new </w:t>
      </w:r>
      <w:r>
        <w:t>NSI</w:t>
      </w:r>
      <w:r w:rsidR="006B24FA">
        <w:t xml:space="preserve"> manual has been designed around a new concept recommended by the Maine Hospital Association.  Instead of paraphrasing and quoting sections of the national specifications, the NSI manual describes the Chapter 270 reporting requirements, and then presents a topic-by-topic finding guide and page numbers for looking up relevant portions in the nationally published specifications manuals.  Instead of having to study one manual in order to report to a national authority, and an MHDO manual covering the same material you now only have to refer to one, and use the MHDO guide to quickly locate, for example, the 32 pages scattered throughout a 257-page national manual that relate to Chapter 270 measures.</w:t>
      </w:r>
    </w:p>
    <w:p w:rsidR="0012592F" w:rsidRPr="0012592F" w:rsidRDefault="0012592F" w:rsidP="00E35331">
      <w:pPr>
        <w:spacing w:before="360"/>
        <w:rPr>
          <w:b/>
        </w:rPr>
      </w:pPr>
      <w:r w:rsidRPr="0012592F">
        <w:rPr>
          <w:b/>
        </w:rPr>
        <w:t xml:space="preserve">“Measure Stewards” and </w:t>
      </w:r>
      <w:r w:rsidR="00E35331">
        <w:rPr>
          <w:b/>
        </w:rPr>
        <w:t xml:space="preserve">MHDO </w:t>
      </w:r>
      <w:r w:rsidR="00C772A1">
        <w:rPr>
          <w:b/>
        </w:rPr>
        <w:t xml:space="preserve">notification of </w:t>
      </w:r>
      <w:r w:rsidRPr="0012592F">
        <w:rPr>
          <w:b/>
        </w:rPr>
        <w:t>technical specification</w:t>
      </w:r>
      <w:r w:rsidR="00C772A1">
        <w:rPr>
          <w:b/>
        </w:rPr>
        <w:t xml:space="preserve"> update</w:t>
      </w:r>
      <w:r w:rsidRPr="0012592F">
        <w:rPr>
          <w:b/>
        </w:rPr>
        <w:t>s</w:t>
      </w:r>
    </w:p>
    <w:p w:rsidR="007C2565" w:rsidRDefault="007C2565" w:rsidP="001A374E">
      <w:r>
        <w:t xml:space="preserve">The new rules also adopt the National Quality Forum (NQF)’s concept of a “measure steward”.  </w:t>
      </w:r>
      <w:r w:rsidR="006E60CC">
        <w:t>E</w:t>
      </w:r>
      <w:r>
        <w:t xml:space="preserve">very quality measure endorsed by NQF, </w:t>
      </w:r>
      <w:r w:rsidR="006E60CC">
        <w:t>has a</w:t>
      </w:r>
      <w:r>
        <w:t xml:space="preserve"> designated </w:t>
      </w:r>
      <w:r w:rsidR="006E60CC">
        <w:t>steward, a government agency or non-profit organization having responsibility to maintain and update the measure’s technical specifications, as necessary.</w:t>
      </w:r>
    </w:p>
    <w:p w:rsidR="00E35331" w:rsidRDefault="006E60CC" w:rsidP="001A374E">
      <w:r>
        <w:t>One of the great improvements to</w:t>
      </w:r>
      <w:r w:rsidR="001A374E">
        <w:t xml:space="preserve"> Chapter 270 </w:t>
      </w:r>
      <w:r>
        <w:t>is the</w:t>
      </w:r>
      <w:r w:rsidR="001A374E">
        <w:t xml:space="preserve"> new provision that allows Maine hospitals and MHDO to keep in step with nationwide changes and modifications to existing measures.  </w:t>
      </w:r>
      <w:r>
        <w:t xml:space="preserve">In the past, any changes or updates to Chapter 270’s specifications for a quality measure required a lengthy process, multiple public hearings, and legislative action.  Thus, hospitals would find themselves in a situation where they would have to collect data for two different versions of the same measure, until Chapter 270 finally caught up with the national definition.  </w:t>
      </w:r>
    </w:p>
    <w:p w:rsidR="001A374E" w:rsidRDefault="006E60CC" w:rsidP="001A374E">
      <w:r>
        <w:lastRenderedPageBreak/>
        <w:t>Now, w</w:t>
      </w:r>
      <w:r w:rsidR="001A374E">
        <w:t xml:space="preserve">hen a measure steward, updates or makes changes to the technical specifications governing a particular measure, </w:t>
      </w:r>
      <w:r w:rsidR="00E35331">
        <w:t>Chapter 270</w:t>
      </w:r>
      <w:r w:rsidR="001A374E">
        <w:t xml:space="preserve"> w</w:t>
      </w:r>
      <w:r w:rsidR="00E35331">
        <w:t>ill be automatically recognize those changes set their effective date to</w:t>
      </w:r>
      <w:r w:rsidR="001A374E">
        <w:t xml:space="preserve"> the </w:t>
      </w:r>
      <w:r>
        <w:t xml:space="preserve">same </w:t>
      </w:r>
      <w:r w:rsidR="001A374E">
        <w:t xml:space="preserve">date specified by the measure steward.  </w:t>
      </w:r>
    </w:p>
    <w:p w:rsidR="006E60CC" w:rsidRDefault="006E60CC" w:rsidP="001A374E">
      <w:r>
        <w:t xml:space="preserve">MHDO will track and follow </w:t>
      </w:r>
      <w:r w:rsidR="0012592F">
        <w:t xml:space="preserve">any developments that might alter the specifications for a Chapter 270 measure, and </w:t>
      </w:r>
      <w:r w:rsidR="00BA2871">
        <w:t xml:space="preserve">use email to </w:t>
      </w:r>
      <w:r w:rsidR="0012592F">
        <w:t>notify all</w:t>
      </w:r>
      <w:r w:rsidR="00C772A1">
        <w:t xml:space="preserve"> </w:t>
      </w:r>
      <w:r w:rsidR="0012592F">
        <w:t>hospitals</w:t>
      </w:r>
      <w:r w:rsidR="00BA2871">
        <w:t xml:space="preserve"> and the MHA </w:t>
      </w:r>
      <w:r w:rsidR="0012592F">
        <w:t xml:space="preserve">of </w:t>
      </w:r>
      <w:r w:rsidR="00BA2871">
        <w:t>any</w:t>
      </w:r>
      <w:r w:rsidR="0012592F">
        <w:t xml:space="preserve"> changes and their effective date.</w:t>
      </w:r>
      <w:r w:rsidR="00BA2871">
        <w:t xml:space="preserve">  </w:t>
      </w:r>
      <w:bookmarkStart w:id="1" w:name="_GoBack"/>
      <w:bookmarkEnd w:id="1"/>
    </w:p>
    <w:p w:rsidR="00E35331" w:rsidRPr="00E35331" w:rsidRDefault="00E35331" w:rsidP="00E35331">
      <w:pPr>
        <w:spacing w:before="360"/>
        <w:rPr>
          <w:b/>
        </w:rPr>
      </w:pPr>
      <w:r w:rsidRPr="00E35331">
        <w:rPr>
          <w:b/>
        </w:rPr>
        <w:t>New Excel data submission forms</w:t>
      </w:r>
    </w:p>
    <w:p w:rsidR="003302EB" w:rsidRDefault="002C2064" w:rsidP="001A374E">
      <w:r>
        <w:t xml:space="preserve">MHDO </w:t>
      </w:r>
      <w:r w:rsidR="003302EB">
        <w:t>will</w:t>
      </w:r>
      <w:r w:rsidR="00E35331">
        <w:t xml:space="preserve"> </w:t>
      </w:r>
      <w:r>
        <w:t>soon releas</w:t>
      </w:r>
      <w:r w:rsidR="003302EB">
        <w:t>e</w:t>
      </w:r>
      <w:r>
        <w:t xml:space="preserve"> a new set of improved Excel data submission forms</w:t>
      </w:r>
      <w:r w:rsidR="003302EB">
        <w:t>, available</w:t>
      </w:r>
      <w:r>
        <w:t xml:space="preserve"> for download from the MHDO website.</w:t>
      </w:r>
      <w:r w:rsidR="003302EB">
        <w:t xml:space="preserve">  </w:t>
      </w:r>
    </w:p>
    <w:p w:rsidR="002C2064" w:rsidRDefault="003302EB" w:rsidP="001A374E">
      <w:r>
        <w:t>We’ve tried to make the forms easier and simpler to use.  You will no longer have to remember or lookup them proper MHDO file name format (e.g., “HAI-200099-2013QTR2.xls”).  Click a button and the file will automatically name and save a copy of itself to you desktop and ask you if you want to send it MHDO as an email attachment.  If you answer “Yes”, Excel will automatically attach the file to a new email, address it to MHDO, enter your hospital’s name and the file name on the SUBJECT line, and send it off on its way.</w:t>
      </w:r>
    </w:p>
    <w:p w:rsidR="003302EB" w:rsidRDefault="003302EB" w:rsidP="001A374E">
      <w:r>
        <w:t>The Excel file for Nursing Sensitive Indicators will be greatly simplified with fewer tabs and fewer rows to wade through.</w:t>
      </w:r>
    </w:p>
    <w:p w:rsidR="00515DF5" w:rsidRDefault="00515DF5">
      <w:pPr>
        <w:autoSpaceDE/>
        <w:autoSpaceDN/>
        <w:adjustRightInd/>
        <w:spacing w:before="0"/>
        <w:rPr>
          <w:b/>
          <w:bCs/>
          <w:sz w:val="32"/>
          <w:szCs w:val="26"/>
        </w:rPr>
      </w:pPr>
      <w:r>
        <w:rPr>
          <w:sz w:val="32"/>
        </w:rPr>
        <w:br w:type="page"/>
      </w:r>
    </w:p>
    <w:p w:rsidR="001A374E" w:rsidRDefault="007E54F8" w:rsidP="00260BF8">
      <w:pPr>
        <w:pStyle w:val="Heading1"/>
        <w:numPr>
          <w:ilvl w:val="0"/>
          <w:numId w:val="0"/>
        </w:numPr>
        <w:rPr>
          <w:rFonts w:ascii="Times New Roman" w:hAnsi="Times New Roman"/>
        </w:rPr>
      </w:pPr>
      <w:bookmarkStart w:id="2" w:name="_Toc373233385"/>
      <w:r>
        <w:lastRenderedPageBreak/>
        <w:t xml:space="preserve">Important </w:t>
      </w:r>
      <w:r w:rsidR="001A374E" w:rsidRPr="007E54F8">
        <w:t>N</w:t>
      </w:r>
      <w:r w:rsidR="001A374E" w:rsidRPr="007E54F8">
        <w:rPr>
          <w:smallCaps/>
        </w:rPr>
        <w:t>otices</w:t>
      </w:r>
      <w:bookmarkEnd w:id="2"/>
    </w:p>
    <w:p w:rsidR="001A374E" w:rsidRPr="001A374E" w:rsidRDefault="00515DF5" w:rsidP="00515DF5">
      <w:pPr>
        <w:pStyle w:val="Heading4"/>
        <w:spacing w:before="480"/>
      </w:pPr>
      <w:bookmarkStart w:id="3" w:name="_Toc373233386"/>
      <w:r w:rsidRPr="001A374E">
        <w:rPr>
          <w:noProof/>
          <w:sz w:val="32"/>
        </w:rPr>
        <mc:AlternateContent>
          <mc:Choice Requires="wps">
            <w:drawing>
              <wp:anchor distT="45720" distB="45720" distL="114300" distR="114300" simplePos="0" relativeHeight="251659264" behindDoc="0" locked="0" layoutInCell="1" allowOverlap="1" wp14:anchorId="2D94FA1F" wp14:editId="474C4ABB">
                <wp:simplePos x="0" y="0"/>
                <wp:positionH relativeFrom="column">
                  <wp:posOffset>-575945</wp:posOffset>
                </wp:positionH>
                <wp:positionV relativeFrom="paragraph">
                  <wp:posOffset>110490</wp:posOffset>
                </wp:positionV>
                <wp:extent cx="530352" cy="140462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 cy="1404620"/>
                        </a:xfrm>
                        <a:prstGeom prst="rect">
                          <a:avLst/>
                        </a:prstGeom>
                        <a:noFill/>
                        <a:ln w="9525">
                          <a:noFill/>
                          <a:miter lim="800000"/>
                          <a:headEnd/>
                          <a:tailEnd/>
                        </a:ln>
                      </wps:spPr>
                      <wps:txbx>
                        <w:txbxContent>
                          <w:p w:rsidR="001A374E" w:rsidRPr="00757586" w:rsidRDefault="001A374E" w:rsidP="001A374E">
                            <w:pPr>
                              <w:spacing w:before="0"/>
                              <w:rPr>
                                <w:rFonts w:ascii="MS Shell Dlg 2" w:hAnsi="MS Shell Dlg 2" w:cs="MS Shell Dlg 2"/>
                                <w:sz w:val="44"/>
                                <w:szCs w:val="17"/>
                              </w:rPr>
                            </w:pPr>
                            <w:r w:rsidRPr="00757586">
                              <w:rPr>
                                <w:rFonts w:ascii="Wingdings" w:hAnsi="Wingdings" w:cs="Wingdings"/>
                                <w:sz w:val="72"/>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94FA1F" id="_x0000_t202" coordsize="21600,21600" o:spt="202" path="m,l,21600r21600,l21600,xe">
                <v:stroke joinstyle="miter"/>
                <v:path gradientshapeok="t" o:connecttype="rect"/>
              </v:shapetype>
              <v:shape id="Text Box 2" o:spid="_x0000_s1026" type="#_x0000_t202" style="position:absolute;left:0;text-align:left;margin-left:-45.35pt;margin-top:8.7pt;width:4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" filled="f" stroked="f">
                <v:textbox style="mso-fit-shape-to-text:t">
                  <w:txbxContent>
                    <w:p w:rsidR="001A374E" w:rsidRPr="00757586" w:rsidRDefault="001A374E" w:rsidP="001A374E">
                      <w:pPr>
                        <w:spacing w:before="0"/>
                        <w:rPr>
                          <w:rFonts w:ascii="MS Shell Dlg 2" w:hAnsi="MS Shell Dlg 2" w:cs="MS Shell Dlg 2"/>
                          <w:sz w:val="44"/>
                          <w:szCs w:val="17"/>
                        </w:rPr>
                      </w:pPr>
                      <w:r w:rsidRPr="00757586">
                        <w:rPr>
                          <w:rFonts w:ascii="Wingdings" w:hAnsi="Wingdings" w:cs="Wingdings"/>
                          <w:sz w:val="72"/>
                          <w:szCs w:val="26"/>
                        </w:rPr>
                        <w:t></w:t>
                      </w:r>
                    </w:p>
                  </w:txbxContent>
                </v:textbox>
              </v:shape>
            </w:pict>
          </mc:Fallback>
        </mc:AlternateContent>
      </w:r>
      <w:r w:rsidR="001A374E" w:rsidRPr="001A374E">
        <w:t>1)</w:t>
      </w:r>
      <w:r w:rsidR="001A374E" w:rsidRPr="001A374E">
        <w:tab/>
        <w:t>NDNQI to Stop Reporting Nursing Sensitive Indicator (NSI) data to MHDO</w:t>
      </w:r>
      <w:bookmarkEnd w:id="3"/>
    </w:p>
    <w:p w:rsidR="001A374E" w:rsidRDefault="001A374E" w:rsidP="002C2064">
      <w:pPr>
        <w:spacing w:before="60"/>
        <w:ind w:left="360"/>
      </w:pPr>
      <w:r>
        <w:t>All Maine hospitals that report their Nursing Sensitive Indicator (NSI) data to the National Database of Nursing Quality Indicators (NDNQI</w:t>
      </w:r>
      <w:r>
        <w:fldChar w:fldCharType="begin"/>
      </w:r>
      <w:r>
        <w:instrText xml:space="preserve"> XE "</w:instrText>
      </w:r>
      <w:r w:rsidRPr="00C53882">
        <w:rPr>
          <w:b/>
        </w:rPr>
        <w:instrText>NDNQI</w:instrText>
      </w:r>
      <w:r>
        <w:instrText xml:space="preserve">" </w:instrText>
      </w:r>
      <w:r>
        <w:fldChar w:fldCharType="end"/>
      </w:r>
      <w:r>
        <w:t xml:space="preserve">) should be aware that NDNQI and the Maine Hospital Association have discontinued their contract to have NDNQI submit NSI data extracts to MHDO, following the September 2013 submission of NSI data for the 2013-QTR1 reporting period.  </w:t>
      </w:r>
    </w:p>
    <w:p w:rsidR="001A374E" w:rsidRDefault="001A374E" w:rsidP="001A374E">
      <w:pPr>
        <w:spacing w:before="60"/>
        <w:ind w:left="360"/>
      </w:pPr>
      <w:r>
        <w:t xml:space="preserve">Therefore, beginning with NSI data for the 2013-QTR2 reporting period, (due December 1, 2013) all Maine hospitals will need to submit their NSI data using MHDO’s </w:t>
      </w:r>
      <w:r w:rsidRPr="00CE1754">
        <w:t xml:space="preserve">Nursing Sensitive Indicators </w:t>
      </w:r>
      <w:r>
        <w:t xml:space="preserve">Excel </w:t>
      </w:r>
      <w:r w:rsidRPr="00CE1754">
        <w:t xml:space="preserve">transmittal workbook </w:t>
      </w:r>
      <w:r>
        <w:t xml:space="preserve">from the MHDO website at:  </w:t>
      </w:r>
      <w:hyperlink r:id="rId13" w:history="1">
        <w:r w:rsidRPr="00DA0026">
          <w:rPr>
            <w:rStyle w:val="Hyperlink"/>
          </w:rPr>
          <w:t>https://mhdo.maine.gov/quality_data.htm</w:t>
        </w:r>
      </w:hyperlink>
      <w:r>
        <w:t>.</w:t>
      </w:r>
    </w:p>
    <w:p w:rsidR="001A374E" w:rsidRPr="001A374E" w:rsidRDefault="00515DF5" w:rsidP="00515DF5">
      <w:pPr>
        <w:pStyle w:val="Heading4"/>
        <w:spacing w:before="480"/>
      </w:pPr>
      <w:bookmarkStart w:id="4" w:name="_Toc373233387"/>
      <w:r w:rsidRPr="001A374E">
        <w:rPr>
          <w:noProof/>
          <w:sz w:val="32"/>
        </w:rPr>
        <mc:AlternateContent>
          <mc:Choice Requires="wps">
            <w:drawing>
              <wp:anchor distT="45720" distB="45720" distL="114300" distR="114300" simplePos="0" relativeHeight="251661312" behindDoc="0" locked="0" layoutInCell="1" allowOverlap="1" wp14:anchorId="54DBCF1C" wp14:editId="0FA54396">
                <wp:simplePos x="0" y="0"/>
                <wp:positionH relativeFrom="column">
                  <wp:posOffset>-575945</wp:posOffset>
                </wp:positionH>
                <wp:positionV relativeFrom="paragraph">
                  <wp:posOffset>130810</wp:posOffset>
                </wp:positionV>
                <wp:extent cx="530352" cy="1404620"/>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 cy="1404620"/>
                        </a:xfrm>
                        <a:prstGeom prst="rect">
                          <a:avLst/>
                        </a:prstGeom>
                        <a:noFill/>
                        <a:ln w="9525">
                          <a:noFill/>
                          <a:miter lim="800000"/>
                          <a:headEnd/>
                          <a:tailEnd/>
                        </a:ln>
                      </wps:spPr>
                      <wps:txbx>
                        <w:txbxContent>
                          <w:p w:rsidR="00515DF5" w:rsidRPr="00757586" w:rsidRDefault="00515DF5" w:rsidP="00515DF5">
                            <w:pPr>
                              <w:spacing w:before="0"/>
                              <w:rPr>
                                <w:rFonts w:ascii="MS Shell Dlg 2" w:hAnsi="MS Shell Dlg 2" w:cs="MS Shell Dlg 2"/>
                                <w:sz w:val="44"/>
                                <w:szCs w:val="17"/>
                              </w:rPr>
                            </w:pPr>
                            <w:r w:rsidRPr="00757586">
                              <w:rPr>
                                <w:rFonts w:ascii="Wingdings" w:hAnsi="Wingdings" w:cs="Wingdings"/>
                                <w:sz w:val="72"/>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DBCF1C" id="Text Box 3" o:spid="_x0000_s1027" type="#_x0000_t202" style="position:absolute;left:0;text-align:left;margin-left:-45.35pt;margin-top:10.3pt;width:41.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" filled="f" stroked="f">
                <v:textbox style="mso-fit-shape-to-text:t">
                  <w:txbxContent>
                    <w:p w:rsidR="00515DF5" w:rsidRPr="00757586" w:rsidRDefault="00515DF5" w:rsidP="00515DF5">
                      <w:pPr>
                        <w:spacing w:before="0"/>
                        <w:rPr>
                          <w:rFonts w:ascii="MS Shell Dlg 2" w:hAnsi="MS Shell Dlg 2" w:cs="MS Shell Dlg 2"/>
                          <w:sz w:val="44"/>
                          <w:szCs w:val="17"/>
                        </w:rPr>
                      </w:pPr>
                      <w:r w:rsidRPr="00757586">
                        <w:rPr>
                          <w:rFonts w:ascii="Wingdings" w:hAnsi="Wingdings" w:cs="Wingdings"/>
                          <w:sz w:val="72"/>
                          <w:szCs w:val="26"/>
                        </w:rPr>
                        <w:t></w:t>
                      </w:r>
                    </w:p>
                  </w:txbxContent>
                </v:textbox>
              </v:shape>
            </w:pict>
          </mc:Fallback>
        </mc:AlternateContent>
      </w:r>
      <w:r w:rsidR="001A374E" w:rsidRPr="001A374E">
        <w:t>2)</w:t>
      </w:r>
      <w:r w:rsidR="001A374E" w:rsidRPr="001A374E">
        <w:tab/>
        <w:t xml:space="preserve">Maine Psychiatric and Acute Rehabilitation hospitals </w:t>
      </w:r>
      <w:r w:rsidR="001A374E">
        <w:t xml:space="preserve">are </w:t>
      </w:r>
      <w:r w:rsidR="001A374E" w:rsidRPr="001A374E">
        <w:t xml:space="preserve">now exempt from </w:t>
      </w:r>
      <w:r w:rsidR="001A374E">
        <w:t xml:space="preserve">reporting the </w:t>
      </w:r>
      <w:r w:rsidR="001A374E" w:rsidRPr="001A374E">
        <w:t>Care Transition Measure survey</w:t>
      </w:r>
      <w:bookmarkEnd w:id="4"/>
    </w:p>
    <w:p w:rsidR="001A374E" w:rsidRDefault="001A374E" w:rsidP="001A374E">
      <w:pPr>
        <w:spacing w:before="60"/>
        <w:ind w:left="360"/>
      </w:pPr>
      <w:r>
        <w:t>Chapter 270 now exempts Maine psychiatric hospitals and acute rehabilitation hospitals from the requirement to collect and submit CTM survey data to MHDO.  However, all other Maine hospitals are still required to report.</w:t>
      </w:r>
    </w:p>
    <w:p w:rsidR="00515DF5" w:rsidRDefault="00515DF5" w:rsidP="00515DF5">
      <w:pPr>
        <w:pStyle w:val="Heading4"/>
        <w:spacing w:before="480"/>
      </w:pPr>
      <w:bookmarkStart w:id="5" w:name="_Toc373233388"/>
      <w:r w:rsidRPr="001A374E">
        <w:rPr>
          <w:noProof/>
          <w:sz w:val="32"/>
        </w:rPr>
        <mc:AlternateContent>
          <mc:Choice Requires="wps">
            <w:drawing>
              <wp:anchor distT="45720" distB="45720" distL="114300" distR="114300" simplePos="0" relativeHeight="251663360" behindDoc="0" locked="0" layoutInCell="1" allowOverlap="1" wp14:anchorId="521E7FDF" wp14:editId="771C788F">
                <wp:simplePos x="0" y="0"/>
                <wp:positionH relativeFrom="column">
                  <wp:posOffset>-575945</wp:posOffset>
                </wp:positionH>
                <wp:positionV relativeFrom="paragraph">
                  <wp:posOffset>159385</wp:posOffset>
                </wp:positionV>
                <wp:extent cx="530352" cy="1404620"/>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 cy="1404620"/>
                        </a:xfrm>
                        <a:prstGeom prst="rect">
                          <a:avLst/>
                        </a:prstGeom>
                        <a:noFill/>
                        <a:ln w="9525">
                          <a:noFill/>
                          <a:miter lim="800000"/>
                          <a:headEnd/>
                          <a:tailEnd/>
                        </a:ln>
                      </wps:spPr>
                      <wps:txbx>
                        <w:txbxContent>
                          <w:p w:rsidR="00515DF5" w:rsidRPr="00757586" w:rsidRDefault="00515DF5" w:rsidP="00515DF5">
                            <w:pPr>
                              <w:spacing w:before="0"/>
                              <w:rPr>
                                <w:rFonts w:ascii="MS Shell Dlg 2" w:hAnsi="MS Shell Dlg 2" w:cs="MS Shell Dlg 2"/>
                                <w:sz w:val="44"/>
                                <w:szCs w:val="17"/>
                              </w:rPr>
                            </w:pPr>
                            <w:r w:rsidRPr="00757586">
                              <w:rPr>
                                <w:rFonts w:ascii="Wingdings" w:hAnsi="Wingdings" w:cs="Wingdings"/>
                                <w:sz w:val="72"/>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1E7FDF" id="Text Box 4" o:spid="_x0000_s1028" type="#_x0000_t202" style="position:absolute;left:0;text-align:left;margin-left:-45.35pt;margin-top:12.55pt;width:41.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" filled="f" stroked="f">
                <v:textbox style="mso-fit-shape-to-text:t">
                  <w:txbxContent>
                    <w:p w:rsidR="00515DF5" w:rsidRPr="00757586" w:rsidRDefault="00515DF5" w:rsidP="00515DF5">
                      <w:pPr>
                        <w:spacing w:before="0"/>
                        <w:rPr>
                          <w:rFonts w:ascii="MS Shell Dlg 2" w:hAnsi="MS Shell Dlg 2" w:cs="MS Shell Dlg 2"/>
                          <w:sz w:val="44"/>
                          <w:szCs w:val="17"/>
                        </w:rPr>
                      </w:pPr>
                      <w:r w:rsidRPr="00757586">
                        <w:rPr>
                          <w:rFonts w:ascii="Wingdings" w:hAnsi="Wingdings" w:cs="Wingdings"/>
                          <w:sz w:val="72"/>
                          <w:szCs w:val="26"/>
                        </w:rPr>
                        <w:t></w:t>
                      </w:r>
                    </w:p>
                  </w:txbxContent>
                </v:textbox>
              </v:shape>
            </w:pict>
          </mc:Fallback>
        </mc:AlternateContent>
      </w:r>
      <w:r>
        <w:t>3)</w:t>
      </w:r>
      <w:r>
        <w:tab/>
        <w:t xml:space="preserve">Chapter 270 no longer requires Maine hospitals to collect and submit data from the </w:t>
      </w:r>
      <w:r w:rsidRPr="00515DF5">
        <w:t>Nurse Perceptions of the Culture of Patient Safety</w:t>
      </w:r>
      <w:r>
        <w:t xml:space="preserve"> survey.</w:t>
      </w:r>
      <w:bookmarkEnd w:id="5"/>
    </w:p>
    <w:p w:rsidR="00515DF5" w:rsidRPr="00515DF5" w:rsidRDefault="00515DF5" w:rsidP="00515DF5">
      <w:pPr>
        <w:spacing w:before="60"/>
        <w:ind w:left="360"/>
      </w:pPr>
      <w:r>
        <w:t xml:space="preserve">Chapter 270 has dropped the requirement that Maine hospitals submit data from the </w:t>
      </w:r>
      <w:r w:rsidRPr="00515DF5">
        <w:t>Nurse Perceptions of the Culture of Patient Safety: Hospital Survey on Patient Safety</w:t>
      </w:r>
      <w:r>
        <w:t>.</w:t>
      </w:r>
    </w:p>
    <w:p w:rsidR="00515DF5" w:rsidRDefault="00515DF5" w:rsidP="00260BF8">
      <w:pPr>
        <w:pStyle w:val="Heading1"/>
      </w:pPr>
      <w:bookmarkStart w:id="6" w:name="_Toc373233389"/>
      <w:r w:rsidRPr="00260BF8">
        <w:lastRenderedPageBreak/>
        <w:t>Nurse</w:t>
      </w:r>
      <w:r w:rsidRPr="00515DF5">
        <w:t xml:space="preserve"> Perceptions of the Culture of Patient Safety: Hospital Survey on Patient Safety</w:t>
      </w:r>
      <w:bookmarkEnd w:id="6"/>
    </w:p>
    <w:p w:rsidR="00515DF5" w:rsidRDefault="00515DF5" w:rsidP="00515DF5">
      <w:pPr>
        <w:pStyle w:val="Heading2"/>
      </w:pPr>
      <w:bookmarkStart w:id="7" w:name="_Toc373233390"/>
      <w:r>
        <w:t>No longer required</w:t>
      </w:r>
      <w:bookmarkEnd w:id="7"/>
    </w:p>
    <w:p w:rsidR="00515DF5" w:rsidRPr="00515DF5" w:rsidRDefault="00515DF5" w:rsidP="00515DF5">
      <w:r>
        <w:t xml:space="preserve">Chapter 270 no longer requires Maine hospitals to collect and report this data to MHDO. </w:t>
      </w:r>
    </w:p>
    <w:p w:rsidR="0044125A" w:rsidRDefault="006433A9" w:rsidP="00260BF8">
      <w:pPr>
        <w:pStyle w:val="Heading1"/>
      </w:pPr>
      <w:bookmarkStart w:id="8" w:name="_Toc373233391"/>
      <w:r>
        <w:lastRenderedPageBreak/>
        <w:t xml:space="preserve">Healthcare associated infection (HAI) Quality Data </w:t>
      </w:r>
      <w:r w:rsidR="005B7002">
        <w:t>S</w:t>
      </w:r>
      <w:r>
        <w:t>et</w:t>
      </w:r>
      <w:bookmarkEnd w:id="8"/>
    </w:p>
    <w:p w:rsidR="006433A9" w:rsidRDefault="006433A9" w:rsidP="005B7002">
      <w:pPr>
        <w:spacing w:after="120"/>
      </w:pPr>
      <w:r>
        <w:t xml:space="preserve">While the list of HAI measures remains the same, the Chapter 270 </w:t>
      </w:r>
      <w:r w:rsidR="00885219">
        <w:t xml:space="preserve">and the U.S. CDC NHSN </w:t>
      </w:r>
      <w:r>
        <w:t>have introduced the following changes:</w:t>
      </w:r>
    </w:p>
    <w:tbl>
      <w:tblPr>
        <w:tblW w:w="0" w:type="auto"/>
        <w:tblBorders>
          <w:top w:val="single" w:sz="8" w:space="0" w:color="A6A6A6"/>
          <w:bottom w:val="single" w:sz="8" w:space="0" w:color="A6A6A6"/>
          <w:insideH w:val="single" w:sz="8" w:space="0" w:color="A6A6A6"/>
          <w:insideV w:val="single" w:sz="8" w:space="0" w:color="A6A6A6"/>
        </w:tblBorders>
        <w:tblLook w:val="04A0" w:firstRow="1" w:lastRow="0" w:firstColumn="1" w:lastColumn="0" w:noHBand="0" w:noVBand="1"/>
      </w:tblPr>
      <w:tblGrid>
        <w:gridCol w:w="1278"/>
        <w:gridCol w:w="3222"/>
        <w:gridCol w:w="4529"/>
      </w:tblGrid>
      <w:tr w:rsidR="005B7002" w:rsidRPr="000752F1" w:rsidTr="005B7002">
        <w:trPr>
          <w:cantSplit/>
          <w:trHeight w:val="430"/>
          <w:tblHeader/>
        </w:trPr>
        <w:tc>
          <w:tcPr>
            <w:tcW w:w="1278" w:type="dxa"/>
            <w:shd w:val="clear" w:color="auto" w:fill="F2F2F2"/>
            <w:vAlign w:val="center"/>
          </w:tcPr>
          <w:p w:rsidR="005B7002" w:rsidRPr="004C5D9B" w:rsidRDefault="005B7002" w:rsidP="00301F6C">
            <w:pPr>
              <w:spacing w:before="0"/>
              <w:rPr>
                <w:rFonts w:ascii="Arial" w:hAnsi="Arial" w:cs="Arial"/>
                <w:b/>
                <w:sz w:val="20"/>
              </w:rPr>
            </w:pPr>
            <w:r w:rsidRPr="004C5D9B">
              <w:rPr>
                <w:rFonts w:ascii="Arial" w:hAnsi="Arial" w:cs="Arial"/>
                <w:b/>
                <w:sz w:val="20"/>
              </w:rPr>
              <w:t>Affected Measures</w:t>
            </w:r>
          </w:p>
        </w:tc>
        <w:tc>
          <w:tcPr>
            <w:tcW w:w="3222" w:type="dxa"/>
            <w:shd w:val="clear" w:color="auto" w:fill="F2F2F2"/>
            <w:vAlign w:val="center"/>
          </w:tcPr>
          <w:p w:rsidR="005B7002" w:rsidRPr="004C5D9B" w:rsidRDefault="002C2064" w:rsidP="00301F6C">
            <w:pPr>
              <w:spacing w:before="0"/>
              <w:rPr>
                <w:rFonts w:ascii="Arial" w:hAnsi="Arial" w:cs="Arial"/>
                <w:b/>
                <w:sz w:val="20"/>
              </w:rPr>
            </w:pPr>
            <w:r>
              <w:rPr>
                <w:rFonts w:ascii="Arial" w:hAnsi="Arial" w:cs="Arial"/>
                <w:b/>
                <w:sz w:val="20"/>
              </w:rPr>
              <w:t>Earlier Version</w:t>
            </w:r>
          </w:p>
        </w:tc>
        <w:tc>
          <w:tcPr>
            <w:tcW w:w="4529" w:type="dxa"/>
            <w:shd w:val="clear" w:color="auto" w:fill="F2F2F2"/>
            <w:vAlign w:val="center"/>
          </w:tcPr>
          <w:p w:rsidR="005B7002" w:rsidRPr="004C5D9B" w:rsidRDefault="005B7002" w:rsidP="00301F6C">
            <w:pPr>
              <w:spacing w:before="0"/>
              <w:rPr>
                <w:rFonts w:ascii="Arial" w:hAnsi="Arial" w:cs="Arial"/>
                <w:b/>
                <w:sz w:val="20"/>
              </w:rPr>
            </w:pPr>
            <w:r w:rsidRPr="004C5D9B">
              <w:rPr>
                <w:rFonts w:ascii="Arial" w:hAnsi="Arial" w:cs="Arial"/>
                <w:b/>
                <w:sz w:val="20"/>
              </w:rPr>
              <w:t>New</w:t>
            </w:r>
          </w:p>
        </w:tc>
      </w:tr>
      <w:tr w:rsidR="005B7002" w:rsidRPr="00D040C2" w:rsidTr="005B7002">
        <w:trPr>
          <w:trHeight w:val="430"/>
        </w:trPr>
        <w:tc>
          <w:tcPr>
            <w:tcW w:w="1278" w:type="dxa"/>
            <w:vMerge w:val="restart"/>
            <w:shd w:val="clear" w:color="auto" w:fill="auto"/>
            <w:vAlign w:val="center"/>
          </w:tcPr>
          <w:p w:rsidR="005B7002" w:rsidRPr="004C5D9B" w:rsidRDefault="005B7002" w:rsidP="005B7002">
            <w:pPr>
              <w:spacing w:before="60" w:after="120"/>
              <w:rPr>
                <w:rFonts w:ascii="Arial" w:hAnsi="Arial" w:cs="Arial"/>
                <w:sz w:val="20"/>
              </w:rPr>
            </w:pPr>
            <w:r w:rsidRPr="009F68D4">
              <w:t>HAI-1 &amp; HAI-2</w:t>
            </w:r>
          </w:p>
        </w:tc>
        <w:tc>
          <w:tcPr>
            <w:tcW w:w="3222" w:type="dxa"/>
            <w:shd w:val="clear" w:color="auto" w:fill="auto"/>
            <w:vAlign w:val="center"/>
          </w:tcPr>
          <w:p w:rsidR="005B7002" w:rsidRPr="004C5D9B" w:rsidRDefault="005B7002" w:rsidP="00301F6C">
            <w:pPr>
              <w:spacing w:before="60" w:after="120"/>
            </w:pPr>
            <w:r w:rsidRPr="004C5D9B">
              <w:t>All hospitals had to submit their HAI-1 and HAI-2 data directly to MHDO.</w:t>
            </w:r>
          </w:p>
        </w:tc>
        <w:tc>
          <w:tcPr>
            <w:tcW w:w="4529" w:type="dxa"/>
            <w:shd w:val="clear" w:color="auto" w:fill="auto"/>
            <w:vAlign w:val="center"/>
          </w:tcPr>
          <w:p w:rsidR="005B7002" w:rsidRDefault="005B7002" w:rsidP="005B7002">
            <w:pPr>
              <w:spacing w:before="60" w:after="120"/>
            </w:pPr>
            <w:r w:rsidRPr="004C5D9B">
              <w:t>Hospitals submitting central line catheter-associated blood stream infection rates for intensive care unit and high-risk nursery patients to the NHSN database are exempt from the requirement to report their HAI-1 a</w:t>
            </w:r>
            <w:r>
              <w:t>nd HAI-2 data directly to MHDO, so long as they authorize NHSN to release their data to MHDO.</w:t>
            </w:r>
          </w:p>
          <w:p w:rsidR="005B7002" w:rsidRPr="004C5D9B" w:rsidRDefault="005B7002" w:rsidP="005B7002">
            <w:pPr>
              <w:spacing w:before="60" w:after="120"/>
              <w:rPr>
                <w:rFonts w:ascii="Arial" w:hAnsi="Arial" w:cs="Arial"/>
                <w:sz w:val="20"/>
              </w:rPr>
            </w:pPr>
            <w:r w:rsidRPr="00402404">
              <w:rPr>
                <w:i/>
                <w:shd w:val="clear" w:color="auto" w:fill="D9D9D9" w:themeFill="background1" w:themeFillShade="D9"/>
              </w:rPr>
              <w:t xml:space="preserve">Please Note:  </w:t>
            </w:r>
            <w:r w:rsidRPr="00402404">
              <w:rPr>
                <w:b/>
                <w:i/>
                <w:shd w:val="clear" w:color="auto" w:fill="D9D9D9" w:themeFill="background1" w:themeFillShade="D9"/>
              </w:rPr>
              <w:t>All</w:t>
            </w:r>
            <w:r w:rsidRPr="00402404">
              <w:rPr>
                <w:shd w:val="clear" w:color="auto" w:fill="D9D9D9" w:themeFill="background1" w:themeFillShade="D9"/>
              </w:rPr>
              <w:t xml:space="preserve"> Maine hospitals are still required to submit their bundle compliance data (HAI-3, HAI-4, and HAI-5) directly to MHDO</w:t>
            </w:r>
            <w:r w:rsidR="00402404" w:rsidRPr="00402404">
              <w:rPr>
                <w:shd w:val="clear" w:color="auto" w:fill="D9D9D9" w:themeFill="background1" w:themeFillShade="D9"/>
              </w:rPr>
              <w:t xml:space="preserve"> using the Excel data file</w:t>
            </w:r>
            <w:r w:rsidRPr="00402404">
              <w:rPr>
                <w:shd w:val="clear" w:color="auto" w:fill="D9D9D9" w:themeFill="background1" w:themeFillShade="D9"/>
              </w:rPr>
              <w:t>.</w:t>
            </w:r>
          </w:p>
        </w:tc>
      </w:tr>
      <w:tr w:rsidR="005B7002" w:rsidRPr="009F68D4" w:rsidTr="005B7002">
        <w:tc>
          <w:tcPr>
            <w:tcW w:w="1278" w:type="dxa"/>
            <w:vMerge/>
            <w:shd w:val="clear" w:color="auto" w:fill="auto"/>
          </w:tcPr>
          <w:p w:rsidR="005B7002" w:rsidRPr="009F68D4" w:rsidRDefault="005B7002" w:rsidP="00301F6C">
            <w:pPr>
              <w:spacing w:before="60" w:after="120"/>
            </w:pPr>
          </w:p>
        </w:tc>
        <w:tc>
          <w:tcPr>
            <w:tcW w:w="3222" w:type="dxa"/>
            <w:shd w:val="clear" w:color="auto" w:fill="auto"/>
            <w:vAlign w:val="center"/>
          </w:tcPr>
          <w:p w:rsidR="005B7002" w:rsidRPr="009F68D4" w:rsidRDefault="005B7002" w:rsidP="00301F6C">
            <w:pPr>
              <w:spacing w:before="60" w:after="120"/>
            </w:pPr>
            <w:r w:rsidRPr="009F68D4">
              <w:t>No minimum time between the date of central line insertion</w:t>
            </w:r>
            <w:r>
              <w:t xml:space="preserve"> and the date of the CLABSI event.</w:t>
            </w:r>
          </w:p>
        </w:tc>
        <w:tc>
          <w:tcPr>
            <w:tcW w:w="4529" w:type="dxa"/>
            <w:shd w:val="clear" w:color="auto" w:fill="auto"/>
            <w:vAlign w:val="center"/>
          </w:tcPr>
          <w:p w:rsidR="005B7002" w:rsidRPr="009F68D4" w:rsidRDefault="005B7002" w:rsidP="005B7002">
            <w:pPr>
              <w:spacing w:before="60" w:after="120"/>
            </w:pPr>
            <w:r>
              <w:t>An infection will only qualify as a CLABSI if the central line or umbilical catheter had been in place for at least 2-or-more calendar days after the day when the catheter was placed.</w:t>
            </w:r>
          </w:p>
        </w:tc>
      </w:tr>
      <w:tr w:rsidR="005B7002" w:rsidRPr="009F68D4" w:rsidTr="005B7002">
        <w:tc>
          <w:tcPr>
            <w:tcW w:w="1278" w:type="dxa"/>
            <w:vMerge/>
            <w:shd w:val="clear" w:color="auto" w:fill="auto"/>
          </w:tcPr>
          <w:p w:rsidR="005B7002" w:rsidRPr="009F68D4" w:rsidRDefault="005B7002" w:rsidP="00301F6C">
            <w:pPr>
              <w:spacing w:before="60" w:after="120"/>
            </w:pPr>
          </w:p>
        </w:tc>
        <w:tc>
          <w:tcPr>
            <w:tcW w:w="3222" w:type="dxa"/>
            <w:shd w:val="clear" w:color="auto" w:fill="auto"/>
            <w:vAlign w:val="center"/>
          </w:tcPr>
          <w:p w:rsidR="005B7002" w:rsidRPr="009F68D4" w:rsidRDefault="005B7002" w:rsidP="00301F6C">
            <w:pPr>
              <w:spacing w:before="60" w:after="120"/>
            </w:pPr>
            <w:r>
              <w:t>P</w:t>
            </w:r>
            <w:r w:rsidRPr="008E5DA0">
              <w:t>atients whose central lines were inserted in another facility prior to their transfer to the reporting facility are excluded from this measure</w:t>
            </w:r>
          </w:p>
        </w:tc>
        <w:tc>
          <w:tcPr>
            <w:tcW w:w="4529" w:type="dxa"/>
            <w:shd w:val="clear" w:color="auto" w:fill="auto"/>
            <w:vAlign w:val="center"/>
          </w:tcPr>
          <w:p w:rsidR="005B7002" w:rsidRDefault="005B7002" w:rsidP="00885219">
            <w:pPr>
              <w:spacing w:before="60" w:after="120"/>
            </w:pPr>
            <w:r w:rsidRPr="008E5DA0">
              <w:t>If a patient is admitted or transferred into a facility with a central line in place, (e.g., tunneled or implanted central line), the day of first access is considered Day 1</w:t>
            </w:r>
            <w:r>
              <w:t>.</w:t>
            </w:r>
          </w:p>
        </w:tc>
      </w:tr>
    </w:tbl>
    <w:p w:rsidR="005B7002" w:rsidRDefault="005B7002" w:rsidP="005B7002">
      <w:r>
        <w:t xml:space="preserve">For more detail, please refer to the </w:t>
      </w:r>
      <w:r w:rsidR="00D93283">
        <w:t>November</w:t>
      </w:r>
      <w:r>
        <w:t xml:space="preserve"> 2013 edition of MHDO’s </w:t>
      </w:r>
      <w:r w:rsidRPr="00D93283">
        <w:rPr>
          <w:i/>
        </w:rPr>
        <w:t>Microspecifications Manual for Reporting of the Healthcare Associated Infection Quality Data Set</w:t>
      </w:r>
      <w:r w:rsidR="00D93283" w:rsidRPr="00D93283">
        <w:rPr>
          <w:i/>
        </w:rPr>
        <w:t>.</w:t>
      </w:r>
      <w:r>
        <w:t xml:space="preserve">  </w:t>
      </w:r>
    </w:p>
    <w:p w:rsidR="00BB24B5" w:rsidRDefault="007338D7" w:rsidP="00260BF8">
      <w:pPr>
        <w:pStyle w:val="Heading1"/>
      </w:pPr>
      <w:bookmarkStart w:id="9" w:name="_Toc373233392"/>
      <w:r>
        <w:lastRenderedPageBreak/>
        <w:t>Nursing Sensitive Indicators</w:t>
      </w:r>
      <w:bookmarkEnd w:id="9"/>
    </w:p>
    <w:p w:rsidR="00DD7E7C" w:rsidRDefault="00DD7E7C" w:rsidP="00DD7E7C">
      <w:r>
        <w:t>All Maine hospitals that report their Nursing Sensitive Indicator (NSI) data to the National Database of Nursing Quality Indicators (NDNQI</w:t>
      </w:r>
      <w:r>
        <w:fldChar w:fldCharType="begin"/>
      </w:r>
      <w:r>
        <w:instrText xml:space="preserve"> XE "</w:instrText>
      </w:r>
      <w:r w:rsidRPr="00C53882">
        <w:rPr>
          <w:b/>
        </w:rPr>
        <w:instrText>NDNQI</w:instrText>
      </w:r>
      <w:r>
        <w:instrText xml:space="preserve">" </w:instrText>
      </w:r>
      <w:r>
        <w:fldChar w:fldCharType="end"/>
      </w:r>
      <w:r>
        <w:t xml:space="preserve">) should be aware that NDNQI and the Maine Hospital Association have discontinued their contract to have NDNQI submit NSI data extracts to MHDO, following the September 2013 submission of NSI data for the 2013-QTR1 reporting period.  </w:t>
      </w:r>
    </w:p>
    <w:p w:rsidR="00DD7E7C" w:rsidRDefault="00DD7E7C" w:rsidP="00DD7E7C">
      <w:r>
        <w:t xml:space="preserve">Therefore, beginning with NSI data for the 2013-QTR2 reporting period, (due December 1, 2013) all Maine hospitals will need to submit their NSI data using MHDO’s </w:t>
      </w:r>
      <w:r w:rsidRPr="00CE1754">
        <w:t xml:space="preserve">Nursing Sensitive Indicators </w:t>
      </w:r>
      <w:r>
        <w:t xml:space="preserve">Excel </w:t>
      </w:r>
      <w:r w:rsidRPr="00CE1754">
        <w:t xml:space="preserve">transmittal workbook </w:t>
      </w:r>
      <w:r>
        <w:t xml:space="preserve">from the MHDO website at:  </w:t>
      </w:r>
      <w:hyperlink r:id="rId14" w:history="1">
        <w:r w:rsidRPr="00DA0026">
          <w:rPr>
            <w:rStyle w:val="Hyperlink"/>
          </w:rPr>
          <w:t>https://mhdo.maine.gov/quality_data.htm</w:t>
        </w:r>
      </w:hyperlink>
      <w:r>
        <w:t>.</w:t>
      </w:r>
    </w:p>
    <w:p w:rsidR="00DD7E7C" w:rsidRDefault="00DD7E7C" w:rsidP="00DD7E7C">
      <w:pPr>
        <w:spacing w:after="120"/>
      </w:pPr>
      <w:r>
        <w:t>The table below highlights other changes</w:t>
      </w:r>
      <w:r w:rsidR="00885219">
        <w:t xml:space="preserve"> from Chapter 270</w:t>
      </w:r>
      <w:r w:rsidR="00885219">
        <w:t>:</w:t>
      </w:r>
    </w:p>
    <w:tbl>
      <w:tblPr>
        <w:tblW w:w="0" w:type="auto"/>
        <w:tblBorders>
          <w:top w:val="single" w:sz="4" w:space="0" w:color="A6A6A6"/>
          <w:bottom w:val="single" w:sz="4" w:space="0" w:color="A6A6A6"/>
          <w:insideH w:val="single" w:sz="4" w:space="0" w:color="A6A6A6"/>
          <w:insideV w:val="single" w:sz="4" w:space="0" w:color="A6A6A6"/>
        </w:tblBorders>
        <w:tblCellMar>
          <w:left w:w="58" w:type="dxa"/>
          <w:right w:w="58" w:type="dxa"/>
        </w:tblCellMar>
        <w:tblLook w:val="04A0" w:firstRow="1" w:lastRow="0" w:firstColumn="1" w:lastColumn="0" w:noHBand="0" w:noVBand="1"/>
      </w:tblPr>
      <w:tblGrid>
        <w:gridCol w:w="1363"/>
        <w:gridCol w:w="3626"/>
        <w:gridCol w:w="3627"/>
      </w:tblGrid>
      <w:tr w:rsidR="00DD7E7C" w:rsidRPr="000752F1" w:rsidTr="002C2064">
        <w:trPr>
          <w:cantSplit/>
          <w:trHeight w:val="430"/>
          <w:tblHeader/>
        </w:trPr>
        <w:tc>
          <w:tcPr>
            <w:tcW w:w="1363" w:type="dxa"/>
            <w:tcBorders>
              <w:top w:val="single" w:sz="12" w:space="0" w:color="A6A6A6"/>
              <w:bottom w:val="single" w:sz="12" w:space="0" w:color="A6A6A6"/>
              <w:right w:val="single" w:sz="8" w:space="0" w:color="A6A6A6"/>
            </w:tcBorders>
            <w:shd w:val="clear" w:color="auto" w:fill="F2F2F2" w:themeFill="background1" w:themeFillShade="F2"/>
            <w:vAlign w:val="center"/>
          </w:tcPr>
          <w:p w:rsidR="00DD7E7C" w:rsidRPr="004C5D9B" w:rsidRDefault="00DD7E7C" w:rsidP="00301F6C">
            <w:pPr>
              <w:spacing w:before="0"/>
              <w:jc w:val="center"/>
              <w:rPr>
                <w:rFonts w:ascii="Arial" w:hAnsi="Arial" w:cs="Arial"/>
                <w:b/>
                <w:sz w:val="20"/>
              </w:rPr>
            </w:pPr>
            <w:r w:rsidRPr="004C5D9B">
              <w:rPr>
                <w:rFonts w:ascii="Arial" w:hAnsi="Arial" w:cs="Arial"/>
                <w:b/>
                <w:sz w:val="20"/>
              </w:rPr>
              <w:t>Affected Measures</w:t>
            </w:r>
          </w:p>
        </w:tc>
        <w:tc>
          <w:tcPr>
            <w:tcW w:w="3626" w:type="dxa"/>
            <w:tcBorders>
              <w:top w:val="single" w:sz="12" w:space="0" w:color="A6A6A6"/>
              <w:left w:val="single" w:sz="8" w:space="0" w:color="A6A6A6"/>
              <w:bottom w:val="single" w:sz="12" w:space="0" w:color="A6A6A6"/>
              <w:right w:val="single" w:sz="8" w:space="0" w:color="A6A6A6"/>
            </w:tcBorders>
            <w:shd w:val="clear" w:color="auto" w:fill="F2F2F2" w:themeFill="background1" w:themeFillShade="F2"/>
            <w:vAlign w:val="center"/>
          </w:tcPr>
          <w:p w:rsidR="00DD7E7C" w:rsidRPr="004C5D9B" w:rsidRDefault="002C2064" w:rsidP="00301F6C">
            <w:pPr>
              <w:spacing w:before="0"/>
              <w:rPr>
                <w:rFonts w:ascii="Arial" w:hAnsi="Arial" w:cs="Arial"/>
                <w:b/>
                <w:sz w:val="20"/>
              </w:rPr>
            </w:pPr>
            <w:r>
              <w:rPr>
                <w:rFonts w:ascii="Arial" w:hAnsi="Arial" w:cs="Arial"/>
                <w:b/>
                <w:sz w:val="20"/>
              </w:rPr>
              <w:t>Earlier Version</w:t>
            </w:r>
          </w:p>
        </w:tc>
        <w:tc>
          <w:tcPr>
            <w:tcW w:w="3627" w:type="dxa"/>
            <w:tcBorders>
              <w:top w:val="single" w:sz="12" w:space="0" w:color="A6A6A6"/>
              <w:left w:val="single" w:sz="8" w:space="0" w:color="A6A6A6"/>
              <w:bottom w:val="single" w:sz="12" w:space="0" w:color="A6A6A6"/>
            </w:tcBorders>
            <w:shd w:val="clear" w:color="auto" w:fill="F2F2F2" w:themeFill="background1" w:themeFillShade="F2"/>
            <w:vAlign w:val="center"/>
          </w:tcPr>
          <w:p w:rsidR="00DD7E7C" w:rsidRPr="00E74273" w:rsidRDefault="00DD7E7C" w:rsidP="00301F6C">
            <w:pPr>
              <w:spacing w:before="0"/>
              <w:rPr>
                <w:rFonts w:ascii="Arial" w:hAnsi="Arial" w:cs="Arial"/>
                <w:b/>
                <w:sz w:val="20"/>
              </w:rPr>
            </w:pPr>
            <w:r w:rsidRPr="00E74273">
              <w:rPr>
                <w:rFonts w:ascii="Arial" w:hAnsi="Arial" w:cs="Arial"/>
                <w:b/>
                <w:sz w:val="20"/>
              </w:rPr>
              <w:t>New</w:t>
            </w:r>
          </w:p>
        </w:tc>
      </w:tr>
      <w:tr w:rsidR="00DD7E7C" w:rsidRPr="008C53FA" w:rsidTr="00301F6C">
        <w:trPr>
          <w:cantSplit/>
          <w:trHeight w:val="430"/>
        </w:trPr>
        <w:tc>
          <w:tcPr>
            <w:tcW w:w="1363" w:type="dxa"/>
            <w:tcBorders>
              <w:top w:val="single" w:sz="12" w:space="0" w:color="A6A6A6"/>
              <w:bottom w:val="single" w:sz="8" w:space="0" w:color="A6A6A6"/>
              <w:right w:val="single" w:sz="8" w:space="0" w:color="A6A6A6"/>
            </w:tcBorders>
            <w:vAlign w:val="center"/>
          </w:tcPr>
          <w:p w:rsidR="00DD7E7C" w:rsidRDefault="00DD7E7C" w:rsidP="00301F6C">
            <w:pPr>
              <w:spacing w:before="0"/>
              <w:ind w:left="187" w:hanging="187"/>
            </w:pPr>
            <w:r>
              <w:t>NSPC-1</w:t>
            </w:r>
            <w:r>
              <w:fldChar w:fldCharType="begin"/>
            </w:r>
            <w:r>
              <w:instrText xml:space="preserve"> XE "</w:instrText>
            </w:r>
            <w:r w:rsidRPr="001E3A1E">
              <w:rPr>
                <w:b/>
                <w:bCs/>
              </w:rPr>
              <w:instrText>NSPC-1</w:instrText>
            </w:r>
            <w:r>
              <w:instrText xml:space="preserve">" </w:instrText>
            </w:r>
            <w:r>
              <w:fldChar w:fldCharType="end"/>
            </w:r>
            <w:r>
              <w:t xml:space="preserve"> &amp; 4</w:t>
            </w:r>
          </w:p>
          <w:p w:rsidR="00DD7E7C" w:rsidRDefault="00DD7E7C" w:rsidP="00301F6C">
            <w:pPr>
              <w:spacing w:before="0"/>
              <w:ind w:left="187" w:hanging="187"/>
            </w:pPr>
            <w:r>
              <w:t>NSSC-7a</w:t>
            </w:r>
            <w:r>
              <w:fldChar w:fldCharType="begin"/>
            </w:r>
            <w:r>
              <w:instrText xml:space="preserve"> XE "</w:instrText>
            </w:r>
            <w:r w:rsidRPr="000449D0">
              <w:rPr>
                <w:b/>
              </w:rPr>
              <w:instrText>NSSC-7a</w:instrText>
            </w:r>
            <w:r>
              <w:instrText xml:space="preserve">" </w:instrText>
            </w:r>
            <w:r>
              <w:fldChar w:fldCharType="end"/>
            </w:r>
            <w:r>
              <w:t>&amp;b</w:t>
            </w:r>
          </w:p>
        </w:tc>
        <w:tc>
          <w:tcPr>
            <w:tcW w:w="3626" w:type="dxa"/>
            <w:tcBorders>
              <w:top w:val="single" w:sz="12" w:space="0" w:color="A6A6A6"/>
              <w:left w:val="single" w:sz="8" w:space="0" w:color="A6A6A6"/>
              <w:bottom w:val="single" w:sz="8" w:space="0" w:color="A6A6A6"/>
              <w:right w:val="single" w:sz="8" w:space="0" w:color="A6A6A6"/>
            </w:tcBorders>
          </w:tcPr>
          <w:p w:rsidR="00DD7E7C" w:rsidRDefault="00DD7E7C" w:rsidP="00301F6C">
            <w:pPr>
              <w:spacing w:before="60" w:after="120"/>
            </w:pPr>
            <w:r>
              <w:t xml:space="preserve">These measures were defined in the, </w:t>
            </w:r>
            <w:r w:rsidRPr="004E6BFB">
              <w:rPr>
                <w:i/>
              </w:rPr>
              <w:t>National Quality Forum (NQF) Na</w:t>
            </w:r>
            <w:r>
              <w:rPr>
                <w:i/>
              </w:rPr>
              <w:softHyphen/>
            </w:r>
            <w:r w:rsidRPr="004E6BFB">
              <w:rPr>
                <w:i/>
              </w:rPr>
              <w:t>tional Voluntary Consensus Stand</w:t>
            </w:r>
            <w:r>
              <w:rPr>
                <w:i/>
              </w:rPr>
              <w:softHyphen/>
            </w:r>
            <w:r w:rsidRPr="004E6BFB">
              <w:rPr>
                <w:i/>
              </w:rPr>
              <w:t>ards for  Nursing-Sensitive Care</w:t>
            </w:r>
            <w:r>
              <w:rPr>
                <w:i/>
              </w:rPr>
              <w:t xml:space="preserve">: </w:t>
            </w:r>
            <w:r w:rsidRPr="004E6BFB">
              <w:rPr>
                <w:i/>
              </w:rPr>
              <w:t xml:space="preserve"> A</w:t>
            </w:r>
            <w:r>
              <w:rPr>
                <w:i/>
              </w:rPr>
              <w:t>n</w:t>
            </w:r>
            <w:r w:rsidRPr="004E6BFB">
              <w:rPr>
                <w:i/>
              </w:rPr>
              <w:t xml:space="preserve"> Initial Performance Measure Set, A Consensus Report, 2004</w:t>
            </w:r>
          </w:p>
        </w:tc>
        <w:tc>
          <w:tcPr>
            <w:tcW w:w="3627" w:type="dxa"/>
            <w:tcBorders>
              <w:top w:val="single" w:sz="12" w:space="0" w:color="A6A6A6"/>
              <w:left w:val="single" w:sz="8" w:space="0" w:color="A6A6A6"/>
              <w:bottom w:val="single" w:sz="8" w:space="0" w:color="A6A6A6"/>
            </w:tcBorders>
          </w:tcPr>
          <w:p w:rsidR="00DD7E7C" w:rsidRPr="00E74273" w:rsidRDefault="00DD7E7C" w:rsidP="00301F6C">
            <w:pPr>
              <w:spacing w:before="60" w:after="120"/>
            </w:pPr>
            <w:r w:rsidRPr="00E74273">
              <w:t xml:space="preserve">They are now defined by the </w:t>
            </w:r>
            <w:r w:rsidRPr="00E74273">
              <w:rPr>
                <w:sz w:val="22"/>
                <w:szCs w:val="22"/>
              </w:rPr>
              <w:t>Joint Commission</w:t>
            </w:r>
            <w:r>
              <w:rPr>
                <w:sz w:val="22"/>
                <w:szCs w:val="22"/>
              </w:rPr>
              <w:fldChar w:fldCharType="begin"/>
            </w:r>
            <w:r>
              <w:instrText xml:space="preserve"> XE "</w:instrText>
            </w:r>
            <w:r w:rsidRPr="00435694">
              <w:rPr>
                <w:sz w:val="22"/>
                <w:szCs w:val="22"/>
              </w:rPr>
              <w:instrText>Joint Commission, The</w:instrText>
            </w:r>
            <w:r>
              <w:instrText xml:space="preserve">" </w:instrText>
            </w:r>
            <w:r>
              <w:rPr>
                <w:sz w:val="22"/>
                <w:szCs w:val="22"/>
              </w:rPr>
              <w:fldChar w:fldCharType="end"/>
            </w:r>
            <w:r w:rsidRPr="00E74273">
              <w:rPr>
                <w:sz w:val="22"/>
                <w:szCs w:val="22"/>
              </w:rPr>
              <w:t xml:space="preserve">’s, </w:t>
            </w:r>
            <w:r w:rsidRPr="00E74273">
              <w:rPr>
                <w:i/>
                <w:sz w:val="22"/>
                <w:szCs w:val="22"/>
              </w:rPr>
              <w:t>Implementation Guide for the NQF Endorsed Nursing Sensitive Care Measure Set, 2009.</w:t>
            </w:r>
          </w:p>
        </w:tc>
      </w:tr>
      <w:tr w:rsidR="00DD7E7C" w:rsidRPr="008C53FA" w:rsidTr="002C2064">
        <w:trPr>
          <w:cantSplit/>
          <w:trHeight w:val="430"/>
        </w:trPr>
        <w:tc>
          <w:tcPr>
            <w:tcW w:w="1363" w:type="dxa"/>
            <w:tcBorders>
              <w:top w:val="single" w:sz="8" w:space="0" w:color="A6A6A6"/>
              <w:bottom w:val="single" w:sz="8" w:space="0" w:color="A6A6A6"/>
              <w:right w:val="single" w:sz="8" w:space="0" w:color="A6A6A6"/>
            </w:tcBorders>
            <w:vAlign w:val="center"/>
          </w:tcPr>
          <w:p w:rsidR="00DD7E7C" w:rsidRDefault="00DD7E7C" w:rsidP="00301F6C">
            <w:pPr>
              <w:spacing w:before="0"/>
              <w:ind w:left="187" w:hanging="187"/>
            </w:pPr>
            <w:r>
              <w:t>NSPC-2</w:t>
            </w:r>
            <w:r>
              <w:fldChar w:fldCharType="begin"/>
            </w:r>
            <w:r>
              <w:instrText xml:space="preserve"> XE "</w:instrText>
            </w:r>
            <w:r w:rsidRPr="001E3A1E">
              <w:rPr>
                <w:b/>
                <w:bCs/>
              </w:rPr>
              <w:instrText>NSPC-2</w:instrText>
            </w:r>
            <w:r>
              <w:instrText xml:space="preserve">" </w:instrText>
            </w:r>
            <w:r>
              <w:fldChar w:fldCharType="end"/>
            </w:r>
            <w:r>
              <w:t xml:space="preserve"> &amp; 3</w:t>
            </w:r>
          </w:p>
          <w:p w:rsidR="00DD7E7C" w:rsidRPr="00745428" w:rsidRDefault="00DD7E7C" w:rsidP="00301F6C">
            <w:pPr>
              <w:spacing w:before="0"/>
              <w:ind w:left="180" w:hanging="180"/>
            </w:pPr>
            <w:r>
              <w:t>NSSC-1</w:t>
            </w:r>
            <w:r>
              <w:fldChar w:fldCharType="begin"/>
            </w:r>
            <w:r>
              <w:instrText xml:space="preserve"> XE "</w:instrText>
            </w:r>
            <w:r w:rsidRPr="000449D0">
              <w:rPr>
                <w:b/>
                <w:bCs/>
              </w:rPr>
              <w:instrText>NSSC-1</w:instrText>
            </w:r>
            <w:r>
              <w:instrText xml:space="preserve">" </w:instrText>
            </w:r>
            <w:r>
              <w:fldChar w:fldCharType="end"/>
            </w:r>
            <w:r>
              <w:t xml:space="preserve"> to 6 </w:t>
            </w:r>
            <w:r>
              <w:br/>
            </w:r>
          </w:p>
        </w:tc>
        <w:tc>
          <w:tcPr>
            <w:tcW w:w="3626" w:type="dxa"/>
            <w:tcBorders>
              <w:top w:val="single" w:sz="8" w:space="0" w:color="A6A6A6"/>
              <w:left w:val="single" w:sz="8" w:space="0" w:color="A6A6A6"/>
              <w:bottom w:val="single" w:sz="8" w:space="0" w:color="A6A6A6"/>
              <w:right w:val="single" w:sz="8" w:space="0" w:color="A6A6A6"/>
            </w:tcBorders>
          </w:tcPr>
          <w:p w:rsidR="00DD7E7C" w:rsidRPr="003019EE" w:rsidRDefault="00DD7E7C" w:rsidP="00301F6C">
            <w:pPr>
              <w:spacing w:before="60" w:after="120"/>
            </w:pPr>
            <w:r>
              <w:t xml:space="preserve">These measures were defined in the, </w:t>
            </w:r>
            <w:r w:rsidRPr="004E6BFB">
              <w:rPr>
                <w:i/>
              </w:rPr>
              <w:t>National Quality Forum (NQF) Na</w:t>
            </w:r>
            <w:r>
              <w:rPr>
                <w:i/>
              </w:rPr>
              <w:softHyphen/>
            </w:r>
            <w:r w:rsidRPr="004E6BFB">
              <w:rPr>
                <w:i/>
              </w:rPr>
              <w:t>tional Voluntary Consensus Stand</w:t>
            </w:r>
            <w:r>
              <w:rPr>
                <w:i/>
              </w:rPr>
              <w:softHyphen/>
            </w:r>
            <w:r w:rsidRPr="004E6BFB">
              <w:rPr>
                <w:i/>
              </w:rPr>
              <w:t>ards for  Nursing-Sensitive Care</w:t>
            </w:r>
            <w:r>
              <w:rPr>
                <w:i/>
              </w:rPr>
              <w:t xml:space="preserve">: </w:t>
            </w:r>
            <w:r w:rsidRPr="004E6BFB">
              <w:rPr>
                <w:i/>
              </w:rPr>
              <w:t xml:space="preserve"> A</w:t>
            </w:r>
            <w:r>
              <w:rPr>
                <w:i/>
              </w:rPr>
              <w:t>n</w:t>
            </w:r>
            <w:r w:rsidRPr="004E6BFB">
              <w:rPr>
                <w:i/>
              </w:rPr>
              <w:t xml:space="preserve"> Initial Performance Measure Set, A Consensus Report, 2004</w:t>
            </w:r>
          </w:p>
        </w:tc>
        <w:tc>
          <w:tcPr>
            <w:tcW w:w="3627" w:type="dxa"/>
            <w:tcBorders>
              <w:top w:val="single" w:sz="8" w:space="0" w:color="A6A6A6"/>
              <w:left w:val="single" w:sz="8" w:space="0" w:color="A6A6A6"/>
              <w:bottom w:val="single" w:sz="8" w:space="0" w:color="A6A6A6"/>
            </w:tcBorders>
          </w:tcPr>
          <w:p w:rsidR="00DD7E7C" w:rsidRPr="00E74273" w:rsidRDefault="00DD7E7C" w:rsidP="00DD7E7C">
            <w:pPr>
              <w:spacing w:before="60" w:after="120"/>
            </w:pPr>
            <w:r w:rsidRPr="00E74273">
              <w:t>They are now defined by the American Nurses Association</w:t>
            </w:r>
            <w:r>
              <w:fldChar w:fldCharType="begin"/>
            </w:r>
            <w:r>
              <w:instrText xml:space="preserve"> XE "</w:instrText>
            </w:r>
            <w:r w:rsidRPr="007E228B">
              <w:instrText>American Nurses Association</w:instrText>
            </w:r>
            <w:r>
              <w:instrText xml:space="preserve">" </w:instrText>
            </w:r>
            <w:r>
              <w:fldChar w:fldCharType="end"/>
            </w:r>
            <w:r w:rsidRPr="00E74273">
              <w:t>’s National Database for Nursing Quality Indicators (NDNQI</w:t>
            </w:r>
            <w:r>
              <w:fldChar w:fldCharType="begin"/>
            </w:r>
            <w:r>
              <w:instrText xml:space="preserve"> XE "</w:instrText>
            </w:r>
            <w:r w:rsidRPr="00B360AC">
              <w:instrText>NDNQI</w:instrText>
            </w:r>
            <w:r>
              <w:instrText xml:space="preserve">" </w:instrText>
            </w:r>
            <w:r>
              <w:fldChar w:fldCharType="end"/>
            </w:r>
            <w:r w:rsidRPr="00E74273">
              <w:t xml:space="preserve">) </w:t>
            </w:r>
            <w:r w:rsidRPr="00E74273">
              <w:rPr>
                <w:i/>
              </w:rPr>
              <w:t>Guidelines for Data Collection on the American Nurses Association’s National Quality Forum Endorsed Measures, May 2010</w:t>
            </w:r>
            <w:r w:rsidRPr="00E74273">
              <w:rPr>
                <w:rStyle w:val="FootnoteReference"/>
                <w:i/>
              </w:rPr>
              <w:footnoteReference w:customMarkFollows="1" w:id="1"/>
              <w:t>†</w:t>
            </w:r>
          </w:p>
        </w:tc>
      </w:tr>
      <w:tr w:rsidR="00DD7E7C" w:rsidRPr="008C53FA" w:rsidTr="00301F6C">
        <w:trPr>
          <w:cantSplit/>
        </w:trPr>
        <w:tc>
          <w:tcPr>
            <w:tcW w:w="1363" w:type="dxa"/>
            <w:tcBorders>
              <w:top w:val="single" w:sz="8" w:space="0" w:color="A6A6A6"/>
              <w:bottom w:val="single" w:sz="8" w:space="0" w:color="A6A6A6"/>
              <w:right w:val="single" w:sz="8" w:space="0" w:color="A6A6A6"/>
            </w:tcBorders>
            <w:vAlign w:val="center"/>
          </w:tcPr>
          <w:p w:rsidR="00DD7E7C" w:rsidRPr="00745428" w:rsidRDefault="00DD7E7C" w:rsidP="00301F6C">
            <w:pPr>
              <w:spacing w:before="60" w:after="120"/>
            </w:pPr>
            <w:r>
              <w:t>All</w:t>
            </w:r>
          </w:p>
        </w:tc>
        <w:tc>
          <w:tcPr>
            <w:tcW w:w="3626" w:type="dxa"/>
            <w:tcBorders>
              <w:top w:val="single" w:sz="8" w:space="0" w:color="A6A6A6"/>
              <w:left w:val="single" w:sz="8" w:space="0" w:color="A6A6A6"/>
              <w:bottom w:val="single" w:sz="8" w:space="0" w:color="A6A6A6"/>
              <w:right w:val="single" w:sz="8" w:space="0" w:color="A6A6A6"/>
            </w:tcBorders>
          </w:tcPr>
          <w:p w:rsidR="00DD7E7C" w:rsidRPr="00745428" w:rsidRDefault="00DD7E7C" w:rsidP="00301F6C">
            <w:pPr>
              <w:spacing w:before="60" w:after="120"/>
            </w:pPr>
            <w:r w:rsidRPr="000853E2">
              <w:t xml:space="preserve">Upon completion of </w:t>
            </w:r>
            <w:r>
              <w:t>[</w:t>
            </w:r>
            <w:r w:rsidRPr="00424F90">
              <w:rPr>
                <w:i/>
              </w:rPr>
              <w:t>MHDO’s</w:t>
            </w:r>
            <w:r>
              <w:t>]</w:t>
            </w:r>
            <w:r w:rsidRPr="000853E2">
              <w:t xml:space="preserve"> evaluation</w:t>
            </w:r>
            <w:r>
              <w:t xml:space="preserve"> [</w:t>
            </w:r>
            <w:r w:rsidRPr="00424F90">
              <w:rPr>
                <w:i/>
              </w:rPr>
              <w:t>of the data submission’s compliance with standards</w:t>
            </w:r>
            <w:r>
              <w:t>]</w:t>
            </w:r>
            <w:r w:rsidRPr="000853E2">
              <w:t>, the MHDO</w:t>
            </w:r>
            <w:r>
              <w:fldChar w:fldCharType="begin"/>
            </w:r>
            <w:r>
              <w:instrText xml:space="preserve"> XE "</w:instrText>
            </w:r>
            <w:r w:rsidRPr="00C52080">
              <w:instrText>Maine Health Data Organization</w:instrText>
            </w:r>
            <w:r>
              <w:instrText xml:space="preserve">" </w:instrText>
            </w:r>
            <w:r>
              <w:fldChar w:fldCharType="end"/>
            </w:r>
            <w:r w:rsidRPr="000853E2">
              <w:t xml:space="preserve"> will promptly notify each hospital whose data submissions do not satisfy the standards for any filing</w:t>
            </w:r>
            <w:r>
              <w:t xml:space="preserve"> period.  </w:t>
            </w:r>
          </w:p>
        </w:tc>
        <w:tc>
          <w:tcPr>
            <w:tcW w:w="3627" w:type="dxa"/>
            <w:tcBorders>
              <w:top w:val="single" w:sz="8" w:space="0" w:color="A6A6A6"/>
              <w:left w:val="single" w:sz="8" w:space="0" w:color="A6A6A6"/>
              <w:bottom w:val="single" w:sz="8" w:space="0" w:color="A6A6A6"/>
            </w:tcBorders>
          </w:tcPr>
          <w:p w:rsidR="00DD7E7C" w:rsidRPr="00745428" w:rsidRDefault="00DD7E7C" w:rsidP="00301F6C">
            <w:pPr>
              <w:spacing w:before="60" w:after="120"/>
            </w:pPr>
            <w:r w:rsidRPr="000853E2">
              <w:t>Upon completion of this evaluation, the MHDO</w:t>
            </w:r>
            <w:r>
              <w:fldChar w:fldCharType="begin"/>
            </w:r>
            <w:r>
              <w:instrText xml:space="preserve"> XE "</w:instrText>
            </w:r>
            <w:r w:rsidRPr="00C52080">
              <w:instrText>Maine Health Data Organization</w:instrText>
            </w:r>
            <w:r>
              <w:instrText xml:space="preserve">" </w:instrText>
            </w:r>
            <w:r>
              <w:fldChar w:fldCharType="end"/>
            </w:r>
            <w:r w:rsidRPr="000853E2">
              <w:t xml:space="preserve"> will promptly notify each hospital whose data submissions do not satisfy the standards for any filing </w:t>
            </w:r>
            <w:r w:rsidRPr="003019EE">
              <w:t xml:space="preserve">period </w:t>
            </w:r>
            <w:r w:rsidRPr="00E74273">
              <w:t xml:space="preserve">within 90 days of the quarterly submission deadline.  </w:t>
            </w:r>
          </w:p>
        </w:tc>
      </w:tr>
    </w:tbl>
    <w:p w:rsidR="00DD7E7C" w:rsidRDefault="00DD7E7C" w:rsidP="00DD7E7C">
      <w:r>
        <w:lastRenderedPageBreak/>
        <w:t xml:space="preserve">For more detail, please refer to the November 2013 edition of MHDO’s </w:t>
      </w:r>
      <w:r w:rsidRPr="00D93283">
        <w:rPr>
          <w:i/>
        </w:rPr>
        <w:t xml:space="preserve">Microspecifications Manual for Reporting </w:t>
      </w:r>
      <w:r w:rsidRPr="00DD7E7C">
        <w:rPr>
          <w:i/>
        </w:rPr>
        <w:t>of the Nursing Sensitive Indicator</w:t>
      </w:r>
      <w:r>
        <w:rPr>
          <w:i/>
        </w:rPr>
        <w:t xml:space="preserve"> </w:t>
      </w:r>
      <w:r w:rsidRPr="00DD7E7C">
        <w:rPr>
          <w:i/>
        </w:rPr>
        <w:t>Quality Data Set</w:t>
      </w:r>
      <w:r w:rsidRPr="00D93283">
        <w:rPr>
          <w:i/>
        </w:rPr>
        <w:t>.</w:t>
      </w:r>
      <w:r>
        <w:t xml:space="preserve">  </w:t>
      </w:r>
    </w:p>
    <w:p w:rsidR="00260BF8" w:rsidRDefault="00260BF8" w:rsidP="00260BF8">
      <w:pPr>
        <w:pStyle w:val="Heading1"/>
      </w:pPr>
      <w:bookmarkStart w:id="10" w:name="_Toc373233393"/>
      <w:r>
        <w:lastRenderedPageBreak/>
        <w:t>Care Transition Measures (CTM)</w:t>
      </w:r>
      <w:bookmarkEnd w:id="10"/>
    </w:p>
    <w:p w:rsidR="00260BF8" w:rsidRDefault="00260BF8" w:rsidP="00260BF8">
      <w:r>
        <w:t>The 2013 amendments to Chapter 270 now exempt psychiatric hospitals and acute rehabilitation hospitals from their former requirement to collect and submit CTM survey data to MHDO.  However, all other Maine hospitals are still required to report.</w:t>
      </w:r>
    </w:p>
    <w:p w:rsidR="00260BF8" w:rsidRDefault="00260BF8" w:rsidP="00260BF8">
      <w:pPr>
        <w:spacing w:after="120"/>
      </w:pPr>
      <w:r>
        <w:t xml:space="preserve">Since CSM incorporated the CTM measures into the Extended HCAHPS survey effective January 2013, CMS has become the new measure steward, or accepted authority, for defining and maintaining those measures.  The table below highlights changes made by CMS and </w:t>
      </w:r>
      <w:r w:rsidR="00885219">
        <w:t>by</w:t>
      </w:r>
      <w:r>
        <w:t xml:space="preserve"> Chapter 270:</w:t>
      </w:r>
    </w:p>
    <w:tbl>
      <w:tblPr>
        <w:tblW w:w="0" w:type="auto"/>
        <w:tblBorders>
          <w:top w:val="single" w:sz="4" w:space="0" w:color="A6A6A6"/>
          <w:bottom w:val="single" w:sz="4" w:space="0" w:color="A6A6A6"/>
          <w:insideH w:val="single" w:sz="4" w:space="0" w:color="A6A6A6"/>
          <w:insideV w:val="single" w:sz="4" w:space="0" w:color="A6A6A6"/>
        </w:tblBorders>
        <w:tblLook w:val="04A0" w:firstRow="1" w:lastRow="0" w:firstColumn="1" w:lastColumn="0" w:noHBand="0" w:noVBand="1"/>
      </w:tblPr>
      <w:tblGrid>
        <w:gridCol w:w="1188"/>
        <w:gridCol w:w="3240"/>
        <w:gridCol w:w="4188"/>
      </w:tblGrid>
      <w:tr w:rsidR="00260BF8" w:rsidRPr="000752F1" w:rsidTr="008C03FF">
        <w:trPr>
          <w:cantSplit/>
          <w:trHeight w:val="430"/>
          <w:tblHeader/>
        </w:trPr>
        <w:tc>
          <w:tcPr>
            <w:tcW w:w="1188" w:type="dxa"/>
            <w:tcBorders>
              <w:top w:val="single" w:sz="12" w:space="0" w:color="A6A6A6"/>
              <w:bottom w:val="single" w:sz="12" w:space="0" w:color="A6A6A6"/>
              <w:right w:val="single" w:sz="8" w:space="0" w:color="A6A6A6"/>
            </w:tcBorders>
            <w:shd w:val="clear" w:color="auto" w:fill="F2F2F2" w:themeFill="background1" w:themeFillShade="F2"/>
            <w:vAlign w:val="center"/>
          </w:tcPr>
          <w:p w:rsidR="00260BF8" w:rsidRPr="004C5D9B" w:rsidRDefault="00260BF8" w:rsidP="008C03FF">
            <w:pPr>
              <w:spacing w:before="0"/>
              <w:jc w:val="center"/>
              <w:rPr>
                <w:rFonts w:ascii="Arial" w:hAnsi="Arial" w:cs="Arial"/>
                <w:b/>
                <w:sz w:val="20"/>
              </w:rPr>
            </w:pPr>
            <w:r w:rsidRPr="004C5D9B">
              <w:rPr>
                <w:rFonts w:ascii="Arial" w:hAnsi="Arial" w:cs="Arial"/>
                <w:b/>
                <w:sz w:val="20"/>
              </w:rPr>
              <w:t xml:space="preserve">Affected </w:t>
            </w:r>
            <w:r>
              <w:rPr>
                <w:rFonts w:ascii="Arial" w:hAnsi="Arial" w:cs="Arial"/>
                <w:b/>
                <w:sz w:val="20"/>
              </w:rPr>
              <w:br/>
              <w:t xml:space="preserve">CTM </w:t>
            </w:r>
            <w:r>
              <w:rPr>
                <w:rFonts w:ascii="Arial" w:hAnsi="Arial" w:cs="Arial"/>
                <w:b/>
                <w:sz w:val="20"/>
              </w:rPr>
              <w:br/>
            </w:r>
            <w:r w:rsidRPr="004C5D9B">
              <w:rPr>
                <w:rFonts w:ascii="Arial" w:hAnsi="Arial" w:cs="Arial"/>
                <w:b/>
                <w:sz w:val="20"/>
              </w:rPr>
              <w:t>Measures</w:t>
            </w:r>
          </w:p>
        </w:tc>
        <w:tc>
          <w:tcPr>
            <w:tcW w:w="3240" w:type="dxa"/>
            <w:tcBorders>
              <w:top w:val="single" w:sz="12" w:space="0" w:color="A6A6A6"/>
              <w:left w:val="single" w:sz="8" w:space="0" w:color="A6A6A6"/>
              <w:bottom w:val="single" w:sz="12" w:space="0" w:color="A6A6A6"/>
              <w:right w:val="single" w:sz="8" w:space="0" w:color="A6A6A6"/>
            </w:tcBorders>
            <w:shd w:val="clear" w:color="auto" w:fill="F2F2F2" w:themeFill="background1" w:themeFillShade="F2"/>
            <w:vAlign w:val="center"/>
          </w:tcPr>
          <w:p w:rsidR="00260BF8" w:rsidRPr="004C5D9B" w:rsidRDefault="00260BF8" w:rsidP="008C03FF">
            <w:pPr>
              <w:spacing w:before="0"/>
              <w:rPr>
                <w:rFonts w:ascii="Arial" w:hAnsi="Arial" w:cs="Arial"/>
                <w:b/>
                <w:sz w:val="20"/>
              </w:rPr>
            </w:pPr>
            <w:r>
              <w:rPr>
                <w:rFonts w:ascii="Arial" w:hAnsi="Arial" w:cs="Arial"/>
                <w:b/>
                <w:sz w:val="20"/>
              </w:rPr>
              <w:t>Earlier Version</w:t>
            </w:r>
          </w:p>
        </w:tc>
        <w:tc>
          <w:tcPr>
            <w:tcW w:w="4188" w:type="dxa"/>
            <w:tcBorders>
              <w:top w:val="single" w:sz="12" w:space="0" w:color="A6A6A6"/>
              <w:left w:val="single" w:sz="8" w:space="0" w:color="A6A6A6"/>
              <w:bottom w:val="single" w:sz="12" w:space="0" w:color="A6A6A6"/>
            </w:tcBorders>
            <w:shd w:val="clear" w:color="auto" w:fill="F2F2F2" w:themeFill="background1" w:themeFillShade="F2"/>
            <w:vAlign w:val="center"/>
          </w:tcPr>
          <w:p w:rsidR="00260BF8" w:rsidRPr="004C5D9B" w:rsidRDefault="00260BF8" w:rsidP="008C03FF">
            <w:pPr>
              <w:spacing w:before="0"/>
              <w:rPr>
                <w:rFonts w:ascii="Arial" w:hAnsi="Arial" w:cs="Arial"/>
                <w:b/>
                <w:sz w:val="20"/>
              </w:rPr>
            </w:pPr>
            <w:r w:rsidRPr="004C5D9B">
              <w:rPr>
                <w:rFonts w:ascii="Arial" w:hAnsi="Arial" w:cs="Arial"/>
                <w:b/>
                <w:sz w:val="20"/>
              </w:rPr>
              <w:t>New</w:t>
            </w:r>
          </w:p>
        </w:tc>
      </w:tr>
      <w:tr w:rsidR="00260BF8" w:rsidRPr="008C53FA" w:rsidTr="008C03FF">
        <w:trPr>
          <w:cantSplit/>
          <w:trHeight w:val="430"/>
        </w:trPr>
        <w:tc>
          <w:tcPr>
            <w:tcW w:w="1188" w:type="dxa"/>
            <w:tcBorders>
              <w:top w:val="single" w:sz="8" w:space="0" w:color="A6A6A6"/>
              <w:bottom w:val="single" w:sz="8" w:space="0" w:color="A6A6A6"/>
              <w:right w:val="single" w:sz="8" w:space="0" w:color="A6A6A6"/>
            </w:tcBorders>
            <w:vAlign w:val="center"/>
          </w:tcPr>
          <w:p w:rsidR="00260BF8" w:rsidRPr="00A84C3A" w:rsidRDefault="00260BF8" w:rsidP="008C03FF">
            <w:pPr>
              <w:spacing w:before="60" w:after="120"/>
            </w:pPr>
            <w:r w:rsidRPr="00745428">
              <w:br/>
            </w:r>
            <w:r w:rsidRPr="00A84C3A">
              <w:t>CTM-1</w:t>
            </w:r>
          </w:p>
          <w:p w:rsidR="00260BF8" w:rsidRPr="008C53FA" w:rsidRDefault="00260BF8" w:rsidP="008C03FF">
            <w:pPr>
              <w:spacing w:before="60" w:after="120"/>
            </w:pPr>
          </w:p>
        </w:tc>
        <w:tc>
          <w:tcPr>
            <w:tcW w:w="3240" w:type="dxa"/>
            <w:tcBorders>
              <w:top w:val="single" w:sz="8" w:space="0" w:color="A6A6A6"/>
              <w:left w:val="single" w:sz="8" w:space="0" w:color="A6A6A6"/>
              <w:bottom w:val="single" w:sz="8" w:space="0" w:color="A6A6A6"/>
              <w:right w:val="single" w:sz="8" w:space="0" w:color="A6A6A6"/>
            </w:tcBorders>
          </w:tcPr>
          <w:p w:rsidR="00260BF8" w:rsidRPr="00745428" w:rsidRDefault="00260BF8" w:rsidP="008C03FF">
            <w:pPr>
              <w:spacing w:before="60" w:after="120"/>
            </w:pPr>
            <w:r w:rsidRPr="008C53FA">
              <w:t>CTM-1:</w:t>
            </w:r>
            <w:r>
              <w:rPr>
                <w:strike/>
              </w:rPr>
              <w:br/>
              <w:t>“</w:t>
            </w:r>
            <w:r w:rsidRPr="008C53FA">
              <w:rPr>
                <w:strike/>
              </w:rPr>
              <w:t>The hospital</w:t>
            </w:r>
            <w:r w:rsidRPr="00D01145">
              <w:t xml:space="preserve"> staff took my preference and those of my family or caregiver into account in deciding what my health care needs would be when I left </w:t>
            </w:r>
            <w:r w:rsidRPr="008C53FA">
              <w:rPr>
                <w:strike/>
              </w:rPr>
              <w:t>the hospital</w:t>
            </w:r>
            <w:r w:rsidRPr="008C53FA">
              <w:rPr>
                <w:strike/>
                <w:vertAlign w:val="subscript"/>
              </w:rPr>
              <w:t>.”</w:t>
            </w:r>
          </w:p>
        </w:tc>
        <w:tc>
          <w:tcPr>
            <w:tcW w:w="4188" w:type="dxa"/>
            <w:tcBorders>
              <w:top w:val="single" w:sz="8" w:space="0" w:color="A6A6A6"/>
              <w:left w:val="single" w:sz="8" w:space="0" w:color="A6A6A6"/>
              <w:bottom w:val="single" w:sz="8" w:space="0" w:color="A6A6A6"/>
            </w:tcBorders>
          </w:tcPr>
          <w:p w:rsidR="00260BF8" w:rsidRPr="008C53FA" w:rsidRDefault="00260BF8" w:rsidP="008C03FF">
            <w:pPr>
              <w:spacing w:before="60" w:after="120"/>
            </w:pPr>
            <w:r>
              <w:t>HCAHPS</w:t>
            </w:r>
            <w:r>
              <w:fldChar w:fldCharType="begin"/>
            </w:r>
            <w:r>
              <w:instrText xml:space="preserve"> XE "</w:instrText>
            </w:r>
            <w:r w:rsidRPr="00EB2EF7">
              <w:instrText>HCAHPS</w:instrText>
            </w:r>
            <w:r>
              <w:instrText xml:space="preserve">" </w:instrText>
            </w:r>
            <w:r>
              <w:fldChar w:fldCharType="end"/>
            </w:r>
            <w:r>
              <w:t xml:space="preserve"> Question 23:</w:t>
            </w:r>
            <w:r>
              <w:br/>
            </w:r>
            <w:r w:rsidRPr="008C53FA">
              <w:t>“</w:t>
            </w:r>
            <w:r w:rsidRPr="008C53FA">
              <w:rPr>
                <w:u w:val="single"/>
              </w:rPr>
              <w:t>During this hospital stay</w:t>
            </w:r>
            <w:r w:rsidRPr="000669B5">
              <w:t xml:space="preserve">, staff took my preferences and those of </w:t>
            </w:r>
            <w:r w:rsidRPr="008C53FA">
              <w:rPr>
                <w:spacing w:val="-4"/>
              </w:rPr>
              <w:t xml:space="preserve">my family or caregiver into account </w:t>
            </w:r>
            <w:r w:rsidRPr="000669B5">
              <w:t>in deciding what my health care needs would be when I left.</w:t>
            </w:r>
            <w:r>
              <w:t>”</w:t>
            </w:r>
          </w:p>
        </w:tc>
      </w:tr>
      <w:tr w:rsidR="00260BF8" w:rsidRPr="008C53FA" w:rsidTr="008C03FF">
        <w:trPr>
          <w:cantSplit/>
        </w:trPr>
        <w:tc>
          <w:tcPr>
            <w:tcW w:w="1188" w:type="dxa"/>
            <w:tcBorders>
              <w:top w:val="single" w:sz="8" w:space="0" w:color="A6A6A6"/>
              <w:bottom w:val="single" w:sz="8" w:space="0" w:color="A6A6A6"/>
              <w:right w:val="single" w:sz="8" w:space="0" w:color="A6A6A6"/>
            </w:tcBorders>
            <w:vAlign w:val="center"/>
          </w:tcPr>
          <w:p w:rsidR="00260BF8" w:rsidRPr="00745428" w:rsidRDefault="00260BF8" w:rsidP="008C03FF">
            <w:pPr>
              <w:spacing w:before="60" w:after="120"/>
            </w:pPr>
            <w:r>
              <w:t>CTM-2 &amp; CTM-3</w:t>
            </w:r>
          </w:p>
        </w:tc>
        <w:tc>
          <w:tcPr>
            <w:tcW w:w="3240" w:type="dxa"/>
            <w:tcBorders>
              <w:top w:val="single" w:sz="8" w:space="0" w:color="A6A6A6"/>
              <w:left w:val="single" w:sz="8" w:space="0" w:color="A6A6A6"/>
              <w:bottom w:val="single" w:sz="8" w:space="0" w:color="A6A6A6"/>
              <w:right w:val="single" w:sz="8" w:space="0" w:color="A6A6A6"/>
            </w:tcBorders>
          </w:tcPr>
          <w:p w:rsidR="00260BF8" w:rsidRPr="00745428" w:rsidRDefault="00260BF8" w:rsidP="008C03FF">
            <w:pPr>
              <w:spacing w:before="60" w:after="120"/>
            </w:pPr>
            <w:r>
              <w:t>CTM-2</w:t>
            </w:r>
            <w:r>
              <w:br/>
              <w:t>CTM-3</w:t>
            </w:r>
          </w:p>
        </w:tc>
        <w:tc>
          <w:tcPr>
            <w:tcW w:w="4188" w:type="dxa"/>
            <w:tcBorders>
              <w:top w:val="single" w:sz="8" w:space="0" w:color="A6A6A6"/>
              <w:left w:val="single" w:sz="8" w:space="0" w:color="A6A6A6"/>
              <w:bottom w:val="single" w:sz="8" w:space="0" w:color="A6A6A6"/>
            </w:tcBorders>
          </w:tcPr>
          <w:p w:rsidR="00260BF8" w:rsidRPr="00745428" w:rsidRDefault="00260BF8" w:rsidP="008C03FF">
            <w:pPr>
              <w:spacing w:before="60" w:after="120"/>
            </w:pPr>
            <w:r>
              <w:t>HCAHPS</w:t>
            </w:r>
            <w:r>
              <w:fldChar w:fldCharType="begin"/>
            </w:r>
            <w:r>
              <w:instrText xml:space="preserve"> XE "</w:instrText>
            </w:r>
            <w:r w:rsidRPr="00EB2EF7">
              <w:instrText>HCAHPS</w:instrText>
            </w:r>
            <w:r>
              <w:instrText xml:space="preserve">" </w:instrText>
            </w:r>
            <w:r>
              <w:fldChar w:fldCharType="end"/>
            </w:r>
            <w:r>
              <w:t xml:space="preserve"> Question 24</w:t>
            </w:r>
            <w:r>
              <w:br/>
              <w:t>HCAHPS Question 25</w:t>
            </w:r>
          </w:p>
        </w:tc>
      </w:tr>
      <w:tr w:rsidR="00260BF8" w:rsidRPr="008C53FA" w:rsidTr="008C03FF">
        <w:trPr>
          <w:cantSplit/>
        </w:trPr>
        <w:tc>
          <w:tcPr>
            <w:tcW w:w="1188" w:type="dxa"/>
            <w:tcBorders>
              <w:top w:val="single" w:sz="8" w:space="0" w:color="A6A6A6"/>
              <w:bottom w:val="single" w:sz="8" w:space="0" w:color="A6A6A6"/>
              <w:right w:val="single" w:sz="8" w:space="0" w:color="A6A6A6"/>
            </w:tcBorders>
            <w:vAlign w:val="center"/>
          </w:tcPr>
          <w:p w:rsidR="00260BF8" w:rsidRPr="008C53FA" w:rsidRDefault="00260BF8" w:rsidP="008C03FF">
            <w:pPr>
              <w:spacing w:before="60" w:after="120"/>
            </w:pPr>
            <w:r>
              <w:t>All</w:t>
            </w:r>
          </w:p>
        </w:tc>
        <w:tc>
          <w:tcPr>
            <w:tcW w:w="3240" w:type="dxa"/>
            <w:tcBorders>
              <w:top w:val="single" w:sz="8" w:space="0" w:color="A6A6A6"/>
              <w:left w:val="single" w:sz="8" w:space="0" w:color="A6A6A6"/>
              <w:bottom w:val="single" w:sz="8" w:space="0" w:color="A6A6A6"/>
              <w:right w:val="single" w:sz="8" w:space="0" w:color="A6A6A6"/>
            </w:tcBorders>
          </w:tcPr>
          <w:p w:rsidR="00260BF8" w:rsidRPr="008C53FA" w:rsidRDefault="00260BF8" w:rsidP="008C03FF">
            <w:pPr>
              <w:spacing w:before="60" w:after="120"/>
            </w:pPr>
            <w:r>
              <w:rPr>
                <w:sz w:val="23"/>
                <w:szCs w:val="23"/>
              </w:rPr>
              <w:t xml:space="preserve">Responses of “Don't Know / Don't Remember / Not </w:t>
            </w:r>
            <w:r w:rsidRPr="008C53FA">
              <w:t>Applicable</w:t>
            </w:r>
            <w:r>
              <w:rPr>
                <w:sz w:val="23"/>
                <w:szCs w:val="23"/>
              </w:rPr>
              <w:t>” should be scored as “99”.  Any question left unanswered (blank) should be scored as “9”.</w:t>
            </w:r>
          </w:p>
        </w:tc>
        <w:tc>
          <w:tcPr>
            <w:tcW w:w="4188" w:type="dxa"/>
            <w:tcBorders>
              <w:top w:val="single" w:sz="8" w:space="0" w:color="A6A6A6"/>
              <w:left w:val="single" w:sz="8" w:space="0" w:color="A6A6A6"/>
              <w:bottom w:val="single" w:sz="8" w:space="0" w:color="A6A6A6"/>
            </w:tcBorders>
          </w:tcPr>
          <w:p w:rsidR="00260BF8" w:rsidRPr="008C53FA" w:rsidRDefault="00260BF8" w:rsidP="008C03FF">
            <w:pPr>
              <w:spacing w:before="60" w:after="120"/>
            </w:pPr>
            <w:r>
              <w:t>Missing answers</w:t>
            </w:r>
            <w:r>
              <w:fldChar w:fldCharType="begin"/>
            </w:r>
            <w:r>
              <w:instrText xml:space="preserve"> XE "m</w:instrText>
            </w:r>
            <w:r w:rsidRPr="00AB0DCE">
              <w:instrText>issing answers</w:instrText>
            </w:r>
            <w:proofErr w:type="gramStart"/>
            <w:r>
              <w:instrText xml:space="preserve">" </w:instrText>
            </w:r>
            <w:proofErr w:type="gramEnd"/>
            <w:r>
              <w:fldChar w:fldCharType="end"/>
            </w:r>
            <w:r>
              <w:t xml:space="preserve">, or responses of “Don't Know / Don't </w:t>
            </w:r>
            <w:r w:rsidRPr="008C53FA">
              <w:t>Remember</w:t>
            </w:r>
            <w:r>
              <w:t xml:space="preserve"> / Not Applicable” should be coded as “M”.  </w:t>
            </w:r>
          </w:p>
        </w:tc>
      </w:tr>
      <w:tr w:rsidR="00260BF8" w:rsidRPr="008C53FA" w:rsidTr="008C03FF">
        <w:trPr>
          <w:cantSplit/>
        </w:trPr>
        <w:tc>
          <w:tcPr>
            <w:tcW w:w="1188" w:type="dxa"/>
            <w:tcBorders>
              <w:top w:val="single" w:sz="8" w:space="0" w:color="A6A6A6"/>
              <w:bottom w:val="single" w:sz="8" w:space="0" w:color="A6A6A6"/>
              <w:right w:val="single" w:sz="8" w:space="0" w:color="A6A6A6"/>
            </w:tcBorders>
            <w:vAlign w:val="center"/>
          </w:tcPr>
          <w:p w:rsidR="00260BF8" w:rsidRPr="008C53FA" w:rsidRDefault="00260BF8" w:rsidP="008C03FF">
            <w:pPr>
              <w:spacing w:before="60" w:after="120"/>
            </w:pPr>
            <w:r>
              <w:t>All</w:t>
            </w:r>
          </w:p>
        </w:tc>
        <w:tc>
          <w:tcPr>
            <w:tcW w:w="3240" w:type="dxa"/>
            <w:tcBorders>
              <w:top w:val="single" w:sz="8" w:space="0" w:color="A6A6A6"/>
              <w:left w:val="single" w:sz="8" w:space="0" w:color="A6A6A6"/>
              <w:bottom w:val="single" w:sz="8" w:space="0" w:color="A6A6A6"/>
              <w:right w:val="single" w:sz="8" w:space="0" w:color="A6A6A6"/>
            </w:tcBorders>
          </w:tcPr>
          <w:p w:rsidR="00260BF8" w:rsidRPr="008C53FA" w:rsidRDefault="00260BF8" w:rsidP="008C03FF">
            <w:pPr>
              <w:spacing w:before="60" w:after="120"/>
            </w:pPr>
            <w:r>
              <w:t>English, Spanish</w:t>
            </w:r>
            <w:r>
              <w:fldChar w:fldCharType="begin"/>
            </w:r>
            <w:r>
              <w:instrText xml:space="preserve"> XE "</w:instrText>
            </w:r>
            <w:proofErr w:type="spellStart"/>
            <w:r w:rsidRPr="00635ECE">
              <w:rPr>
                <w:sz w:val="23"/>
                <w:szCs w:val="23"/>
              </w:rPr>
              <w:instrText>Spanish:</w:instrText>
            </w:r>
            <w:r w:rsidRPr="00635ECE">
              <w:instrText>HCAHPS</w:instrText>
            </w:r>
            <w:proofErr w:type="spellEnd"/>
            <w:r w:rsidRPr="00635ECE">
              <w:instrText xml:space="preserve"> in</w:instrText>
            </w:r>
            <w:r>
              <w:instrText xml:space="preserve">" </w:instrText>
            </w:r>
            <w:r>
              <w:fldChar w:fldCharType="end"/>
            </w:r>
            <w:r>
              <w:t xml:space="preserve"> and French versions of the CTM-3 survey are available</w:t>
            </w:r>
          </w:p>
        </w:tc>
        <w:tc>
          <w:tcPr>
            <w:tcW w:w="4188" w:type="dxa"/>
            <w:tcBorders>
              <w:top w:val="single" w:sz="8" w:space="0" w:color="A6A6A6"/>
              <w:left w:val="single" w:sz="8" w:space="0" w:color="A6A6A6"/>
              <w:bottom w:val="single" w:sz="8" w:space="0" w:color="A6A6A6"/>
            </w:tcBorders>
          </w:tcPr>
          <w:p w:rsidR="00260BF8" w:rsidRPr="008C53FA" w:rsidRDefault="00260BF8" w:rsidP="008C03FF">
            <w:pPr>
              <w:spacing w:before="60" w:after="120"/>
            </w:pPr>
            <w:r>
              <w:rPr>
                <w:sz w:val="23"/>
                <w:szCs w:val="23"/>
              </w:rPr>
              <w:t>The HCAHPS</w:t>
            </w:r>
            <w:r>
              <w:rPr>
                <w:sz w:val="23"/>
                <w:szCs w:val="23"/>
              </w:rPr>
              <w:fldChar w:fldCharType="begin"/>
            </w:r>
            <w:r>
              <w:instrText xml:space="preserve"> XE "</w:instrText>
            </w:r>
            <w:r w:rsidRPr="00EB2EF7">
              <w:instrText>HCAHPS</w:instrText>
            </w:r>
            <w:r>
              <w:instrText xml:space="preserve">" </w:instrText>
            </w:r>
            <w:r>
              <w:rPr>
                <w:sz w:val="23"/>
                <w:szCs w:val="23"/>
              </w:rPr>
              <w:fldChar w:fldCharType="end"/>
            </w:r>
            <w:r>
              <w:rPr>
                <w:sz w:val="23"/>
                <w:szCs w:val="23"/>
              </w:rPr>
              <w:t xml:space="preserve"> survey is available in English, Spanish</w:t>
            </w:r>
            <w:r>
              <w:rPr>
                <w:sz w:val="23"/>
                <w:szCs w:val="23"/>
              </w:rPr>
              <w:fldChar w:fldCharType="begin"/>
            </w:r>
            <w:r>
              <w:instrText xml:space="preserve"> XE "</w:instrText>
            </w:r>
            <w:proofErr w:type="spellStart"/>
            <w:r w:rsidRPr="00635ECE">
              <w:rPr>
                <w:sz w:val="23"/>
                <w:szCs w:val="23"/>
              </w:rPr>
              <w:instrText>Spanish</w:instrText>
            </w:r>
            <w:proofErr w:type="gramStart"/>
            <w:r w:rsidRPr="00635ECE">
              <w:rPr>
                <w:sz w:val="23"/>
                <w:szCs w:val="23"/>
              </w:rPr>
              <w:instrText>:</w:instrText>
            </w:r>
            <w:r w:rsidRPr="00635ECE">
              <w:instrText>HCAHPS</w:instrText>
            </w:r>
            <w:proofErr w:type="spellEnd"/>
            <w:proofErr w:type="gramEnd"/>
            <w:r w:rsidRPr="00635ECE">
              <w:instrText xml:space="preserve"> in</w:instrText>
            </w:r>
            <w:r>
              <w:instrText xml:space="preserve">" </w:instrText>
            </w:r>
            <w:r>
              <w:rPr>
                <w:sz w:val="23"/>
                <w:szCs w:val="23"/>
              </w:rPr>
              <w:fldChar w:fldCharType="end"/>
            </w:r>
            <w:r>
              <w:rPr>
                <w:sz w:val="23"/>
                <w:szCs w:val="23"/>
              </w:rPr>
              <w:t xml:space="preserve">, Chinese, Russian and Vietnamese only.  “Hospitals/Survey vendors </w:t>
            </w:r>
            <w:r w:rsidRPr="008C53FA">
              <w:rPr>
                <w:b/>
                <w:i/>
                <w:sz w:val="23"/>
                <w:szCs w:val="23"/>
              </w:rPr>
              <w:t>are not permitted</w:t>
            </w:r>
            <w:r>
              <w:rPr>
                <w:sz w:val="23"/>
                <w:szCs w:val="23"/>
              </w:rPr>
              <w:t xml:space="preserve"> to make or use any other language translations.</w:t>
            </w:r>
            <w:proofErr w:type="gramStart"/>
            <w:r>
              <w:rPr>
                <w:sz w:val="23"/>
                <w:szCs w:val="23"/>
              </w:rPr>
              <w:t xml:space="preserve">” </w:t>
            </w:r>
            <w:proofErr w:type="gramEnd"/>
            <w:r>
              <w:rPr>
                <w:sz w:val="23"/>
                <w:szCs w:val="23"/>
              </w:rPr>
              <w:t>(CMS)</w:t>
            </w:r>
          </w:p>
        </w:tc>
      </w:tr>
      <w:tr w:rsidR="00260BF8" w:rsidRPr="008C53FA" w:rsidTr="008C03FF">
        <w:trPr>
          <w:cantSplit/>
        </w:trPr>
        <w:tc>
          <w:tcPr>
            <w:tcW w:w="1188" w:type="dxa"/>
            <w:tcBorders>
              <w:top w:val="single" w:sz="8" w:space="0" w:color="A6A6A6"/>
              <w:bottom w:val="single" w:sz="8" w:space="0" w:color="A6A6A6"/>
              <w:right w:val="single" w:sz="8" w:space="0" w:color="A6A6A6"/>
            </w:tcBorders>
            <w:vAlign w:val="center"/>
          </w:tcPr>
          <w:p w:rsidR="00260BF8" w:rsidRPr="008C53FA" w:rsidRDefault="00260BF8" w:rsidP="008C03FF">
            <w:pPr>
              <w:spacing w:before="60" w:after="120"/>
              <w:rPr>
                <w:caps/>
              </w:rPr>
            </w:pPr>
            <w:r>
              <w:rPr>
                <w:caps/>
              </w:rPr>
              <w:lastRenderedPageBreak/>
              <w:t>A</w:t>
            </w:r>
            <w:r w:rsidRPr="008C53FA">
              <w:t>ll</w:t>
            </w:r>
          </w:p>
        </w:tc>
        <w:tc>
          <w:tcPr>
            <w:tcW w:w="3240" w:type="dxa"/>
            <w:tcBorders>
              <w:top w:val="single" w:sz="8" w:space="0" w:color="A6A6A6"/>
              <w:left w:val="single" w:sz="8" w:space="0" w:color="A6A6A6"/>
              <w:bottom w:val="single" w:sz="8" w:space="0" w:color="A6A6A6"/>
              <w:right w:val="single" w:sz="8" w:space="0" w:color="A6A6A6"/>
            </w:tcBorders>
            <w:vAlign w:val="center"/>
          </w:tcPr>
          <w:p w:rsidR="00260BF8" w:rsidRPr="008C53FA" w:rsidRDefault="00260BF8" w:rsidP="008C03FF">
            <w:pPr>
              <w:spacing w:before="60" w:after="120"/>
            </w:pPr>
            <w:r>
              <w:t>Not specified</w:t>
            </w:r>
          </w:p>
        </w:tc>
        <w:tc>
          <w:tcPr>
            <w:tcW w:w="4188" w:type="dxa"/>
            <w:tcBorders>
              <w:top w:val="single" w:sz="8" w:space="0" w:color="A6A6A6"/>
              <w:left w:val="single" w:sz="8" w:space="0" w:color="A6A6A6"/>
              <w:bottom w:val="single" w:sz="8" w:space="0" w:color="A6A6A6"/>
            </w:tcBorders>
          </w:tcPr>
          <w:p w:rsidR="00260BF8" w:rsidRDefault="00260BF8" w:rsidP="008C03FF">
            <w:r>
              <w:t>Otherwise eligible patients should be excluded from the sample, if:</w:t>
            </w:r>
          </w:p>
          <w:p w:rsidR="00260BF8" w:rsidRDefault="00260BF8" w:rsidP="008C03FF">
            <w:pPr>
              <w:numPr>
                <w:ilvl w:val="0"/>
                <w:numId w:val="8"/>
              </w:numPr>
              <w:spacing w:before="20"/>
              <w:ind w:left="346"/>
            </w:pPr>
            <w:r>
              <w:t>They have signed</w:t>
            </w:r>
            <w:r>
              <w:fldChar w:fldCharType="begin"/>
            </w:r>
            <w:r>
              <w:instrText xml:space="preserve"> XE "e</w:instrText>
            </w:r>
            <w:r w:rsidRPr="001A683B">
              <w:instrText xml:space="preserve">xclusions due </w:instrText>
            </w:r>
            <w:proofErr w:type="spellStart"/>
            <w:r w:rsidRPr="001A683B">
              <w:instrText>to:no-publicity</w:instrText>
            </w:r>
            <w:proofErr w:type="spellEnd"/>
            <w:r w:rsidRPr="001A683B">
              <w:instrText xml:space="preserve"> requests</w:instrText>
            </w:r>
            <w:r>
              <w:instrText xml:space="preserve">" </w:instrText>
            </w:r>
            <w:r>
              <w:fldChar w:fldCharType="end"/>
            </w:r>
            <w:r>
              <w:t xml:space="preserve"> a “no-publicity” requests or if they request the hospital or survey vendor not to contact them;</w:t>
            </w:r>
          </w:p>
          <w:p w:rsidR="00260BF8" w:rsidRDefault="00260BF8" w:rsidP="008C03FF">
            <w:pPr>
              <w:numPr>
                <w:ilvl w:val="0"/>
                <w:numId w:val="8"/>
              </w:numPr>
              <w:spacing w:before="20"/>
              <w:ind w:left="346"/>
            </w:pPr>
            <w:r>
              <w:t>Prisoners</w:t>
            </w:r>
            <w:r>
              <w:fldChar w:fldCharType="begin"/>
            </w:r>
            <w:r>
              <w:instrText xml:space="preserve"> XE "</w:instrText>
            </w:r>
            <w:r w:rsidRPr="00AB0DCE">
              <w:instrText>prisoners</w:instrText>
            </w:r>
            <w:r>
              <w:instrText>" \t “</w:instrText>
            </w:r>
            <w:r w:rsidRPr="003141E1">
              <w:rPr>
                <w:i/>
              </w:rPr>
              <w:instrText>See</w:instrText>
            </w:r>
            <w:r>
              <w:instrText xml:space="preserve"> exclusions” </w:instrText>
            </w:r>
            <w:r>
              <w:fldChar w:fldCharType="end"/>
            </w:r>
            <w:r>
              <w:t>, except for persons residing in a halfway</w:t>
            </w:r>
            <w:r>
              <w:fldChar w:fldCharType="begin"/>
            </w:r>
            <w:r>
              <w:instrText xml:space="preserve"> XE "</w:instrText>
            </w:r>
            <w:r w:rsidRPr="00C21D08">
              <w:instrText xml:space="preserve">exclusions due </w:instrText>
            </w:r>
            <w:proofErr w:type="spellStart"/>
            <w:r w:rsidRPr="00C21D08">
              <w:instrText>to:being</w:instrText>
            </w:r>
            <w:proofErr w:type="spellEnd"/>
            <w:r w:rsidRPr="00C21D08">
              <w:instrText xml:space="preserve"> a prisoner</w:instrText>
            </w:r>
            <w:r>
              <w:instrText xml:space="preserve">" </w:instrText>
            </w:r>
            <w:r>
              <w:fldChar w:fldCharType="end"/>
            </w:r>
            <w:r>
              <w:t xml:space="preserve"> house;</w:t>
            </w:r>
          </w:p>
          <w:p w:rsidR="00260BF8" w:rsidRDefault="00260BF8" w:rsidP="008C03FF">
            <w:pPr>
              <w:numPr>
                <w:ilvl w:val="0"/>
                <w:numId w:val="8"/>
              </w:numPr>
              <w:spacing w:before="20"/>
              <w:ind w:left="346"/>
            </w:pPr>
            <w:r>
              <w:t>Persons with a home address</w:t>
            </w:r>
            <w:r>
              <w:fldChar w:fldCharType="begin"/>
            </w:r>
            <w:r>
              <w:instrText xml:space="preserve"> XE "</w:instrText>
            </w:r>
            <w:r w:rsidRPr="00140FA4">
              <w:instrText xml:space="preserve">exclusions due </w:instrText>
            </w:r>
            <w:proofErr w:type="spellStart"/>
            <w:r w:rsidRPr="00140FA4">
              <w:instrText>to:foreign</w:instrText>
            </w:r>
            <w:proofErr w:type="spellEnd"/>
            <w:r w:rsidRPr="00140FA4">
              <w:instrText xml:space="preserve"> address</w:instrText>
            </w:r>
            <w:r>
              <w:instrText xml:space="preserve">" </w:instrText>
            </w:r>
            <w:r>
              <w:fldChar w:fldCharType="end"/>
            </w:r>
            <w:r>
              <w:t xml:space="preserve"> outside the United States or U.S. Territories;</w:t>
            </w:r>
          </w:p>
          <w:p w:rsidR="00260BF8" w:rsidRDefault="00260BF8" w:rsidP="008C03FF">
            <w:pPr>
              <w:numPr>
                <w:ilvl w:val="0"/>
                <w:numId w:val="8"/>
              </w:numPr>
              <w:spacing w:before="20"/>
              <w:ind w:left="346"/>
            </w:pPr>
            <w:r>
              <w:t>Patients discharged to hospice</w:t>
            </w:r>
            <w:r>
              <w:fldChar w:fldCharType="begin"/>
            </w:r>
            <w:r>
              <w:instrText xml:space="preserve"> XE "</w:instrText>
            </w:r>
            <w:proofErr w:type="spellStart"/>
            <w:r w:rsidRPr="009551EA">
              <w:instrText>hospice:patients</w:instrText>
            </w:r>
            <w:proofErr w:type="spellEnd"/>
            <w:r w:rsidRPr="009551EA">
              <w:instrText xml:space="preserve"> discharged to</w:instrText>
            </w:r>
            <w:r>
              <w:instrText xml:space="preserve">" </w:instrText>
            </w:r>
            <w:r>
              <w:fldChar w:fldCharType="end"/>
            </w:r>
            <w:r>
              <w:t>, to a nursing home</w:t>
            </w:r>
            <w:r>
              <w:fldChar w:fldCharType="begin"/>
            </w:r>
            <w:r>
              <w:instrText xml:space="preserve"> XE "</w:instrText>
            </w:r>
            <w:r w:rsidRPr="00381F66">
              <w:instrText>nursing home, patients discharged to</w:instrText>
            </w:r>
            <w:r>
              <w:instrText xml:space="preserve">" </w:instrText>
            </w:r>
            <w:r>
              <w:fldChar w:fldCharType="end"/>
            </w:r>
            <w:r>
              <w:t>, or to a skilled nursing facility; and</w:t>
            </w:r>
          </w:p>
          <w:p w:rsidR="00260BF8" w:rsidRPr="008C53FA" w:rsidRDefault="00260BF8" w:rsidP="008C03FF">
            <w:pPr>
              <w:numPr>
                <w:ilvl w:val="0"/>
                <w:numId w:val="8"/>
              </w:numPr>
              <w:spacing w:before="20"/>
              <w:ind w:left="346"/>
            </w:pPr>
            <w:r>
              <w:t>Patients who must be excluded</w:t>
            </w:r>
            <w:r>
              <w:fldChar w:fldCharType="begin"/>
            </w:r>
            <w:r>
              <w:instrText xml:space="preserve"> XE "</w:instrText>
            </w:r>
            <w:r w:rsidRPr="00D066D7">
              <w:instrText xml:space="preserve">exclusions due </w:instrText>
            </w:r>
            <w:proofErr w:type="spellStart"/>
            <w:r w:rsidRPr="00D066D7">
              <w:instrText>to</w:instrText>
            </w:r>
            <w:proofErr w:type="gramStart"/>
            <w:r w:rsidRPr="00D066D7">
              <w:instrText>:state</w:instrText>
            </w:r>
            <w:proofErr w:type="spellEnd"/>
            <w:proofErr w:type="gramEnd"/>
            <w:r w:rsidRPr="00D066D7">
              <w:instrText xml:space="preserve"> regulations</w:instrText>
            </w:r>
            <w:r>
              <w:instrText xml:space="preserve">" </w:instrText>
            </w:r>
            <w:r>
              <w:fldChar w:fldCharType="end"/>
            </w:r>
            <w:r>
              <w:t xml:space="preserve"> due to state regulations.</w:t>
            </w:r>
          </w:p>
        </w:tc>
      </w:tr>
      <w:tr w:rsidR="00260BF8" w:rsidRPr="008C53FA" w:rsidTr="008C03FF">
        <w:trPr>
          <w:cantSplit/>
        </w:trPr>
        <w:tc>
          <w:tcPr>
            <w:tcW w:w="1188" w:type="dxa"/>
            <w:tcBorders>
              <w:top w:val="single" w:sz="8" w:space="0" w:color="A6A6A6"/>
              <w:bottom w:val="single" w:sz="8" w:space="0" w:color="A6A6A6"/>
              <w:right w:val="single" w:sz="8" w:space="0" w:color="A6A6A6"/>
            </w:tcBorders>
            <w:vAlign w:val="center"/>
          </w:tcPr>
          <w:p w:rsidR="00260BF8" w:rsidRPr="008C53FA" w:rsidRDefault="00260BF8" w:rsidP="008C03FF">
            <w:pPr>
              <w:spacing w:before="60" w:after="120"/>
            </w:pPr>
            <w:r>
              <w:t>All</w:t>
            </w:r>
          </w:p>
        </w:tc>
        <w:tc>
          <w:tcPr>
            <w:tcW w:w="3240" w:type="dxa"/>
            <w:tcBorders>
              <w:top w:val="single" w:sz="8" w:space="0" w:color="A6A6A6"/>
              <w:left w:val="single" w:sz="8" w:space="0" w:color="A6A6A6"/>
              <w:bottom w:val="single" w:sz="8" w:space="0" w:color="A6A6A6"/>
              <w:right w:val="single" w:sz="8" w:space="0" w:color="A6A6A6"/>
            </w:tcBorders>
          </w:tcPr>
          <w:p w:rsidR="00260BF8" w:rsidRPr="008C53FA" w:rsidRDefault="00260BF8" w:rsidP="008C03FF">
            <w:pPr>
              <w:spacing w:before="60" w:after="120"/>
            </w:pPr>
            <w:r>
              <w:t>Depending on their number of annual discharges, hospitals were either required to complete 300 surveys per year</w:t>
            </w:r>
            <w:r>
              <w:fldChar w:fldCharType="begin"/>
            </w:r>
            <w:r>
              <w:instrText xml:space="preserve"> XE "</w:instrText>
            </w:r>
            <w:r w:rsidRPr="00FA74A2">
              <w:instrText>minimum number of completed surveys per year</w:instrText>
            </w:r>
            <w:r>
              <w:instrText xml:space="preserve">" </w:instrText>
            </w:r>
            <w:r>
              <w:fldChar w:fldCharType="end"/>
            </w:r>
            <w:r>
              <w:t>, 200 surveys, 100 surveys, or as many as possible.</w:t>
            </w:r>
          </w:p>
        </w:tc>
        <w:tc>
          <w:tcPr>
            <w:tcW w:w="4188" w:type="dxa"/>
            <w:tcBorders>
              <w:top w:val="single" w:sz="8" w:space="0" w:color="A6A6A6"/>
              <w:left w:val="single" w:sz="8" w:space="0" w:color="A6A6A6"/>
              <w:bottom w:val="single" w:sz="8" w:space="0" w:color="A6A6A6"/>
            </w:tcBorders>
          </w:tcPr>
          <w:p w:rsidR="00260BF8" w:rsidRPr="008C53FA" w:rsidRDefault="00260BF8" w:rsidP="008C03FF">
            <w:pPr>
              <w:spacing w:before="60" w:after="120"/>
            </w:pPr>
            <w:r>
              <w:t>Hospitals shall complete 25 surveys per month (= 75 surveys per quarter = 300 per year</w:t>
            </w:r>
            <w:r>
              <w:fldChar w:fldCharType="begin"/>
            </w:r>
            <w:r>
              <w:instrText xml:space="preserve"> XE "</w:instrText>
            </w:r>
            <w:r w:rsidRPr="00FA74A2">
              <w:instrText>minimum number of completed surveys per year</w:instrText>
            </w:r>
            <w:proofErr w:type="gramStart"/>
            <w:r>
              <w:instrText xml:space="preserve">" </w:instrText>
            </w:r>
            <w:proofErr w:type="gramEnd"/>
            <w:r>
              <w:fldChar w:fldCharType="end"/>
            </w:r>
            <w:r>
              <w:t>).  Hospitals not able to reach that number should survey as many discharges as possible with an allowable minimum of 100 completed surveys per year</w:t>
            </w:r>
            <w:r>
              <w:fldChar w:fldCharType="begin"/>
            </w:r>
            <w:r>
              <w:instrText xml:space="preserve"> XE "</w:instrText>
            </w:r>
            <w:r w:rsidRPr="00FA74A2">
              <w:instrText>minimum number of completed surveys per year</w:instrText>
            </w:r>
            <w:proofErr w:type="gramStart"/>
            <w:r>
              <w:instrText xml:space="preserve">" </w:instrText>
            </w:r>
            <w:proofErr w:type="gramEnd"/>
            <w:r>
              <w:fldChar w:fldCharType="end"/>
            </w:r>
            <w:r>
              <w:t>.</w:t>
            </w:r>
          </w:p>
        </w:tc>
      </w:tr>
      <w:tr w:rsidR="00260BF8" w:rsidRPr="008C53FA" w:rsidTr="008C03FF">
        <w:trPr>
          <w:cantSplit/>
        </w:trPr>
        <w:tc>
          <w:tcPr>
            <w:tcW w:w="1188" w:type="dxa"/>
            <w:tcBorders>
              <w:top w:val="single" w:sz="8" w:space="0" w:color="A6A6A6"/>
              <w:bottom w:val="single" w:sz="8" w:space="0" w:color="A6A6A6"/>
              <w:right w:val="single" w:sz="8" w:space="0" w:color="A6A6A6"/>
            </w:tcBorders>
            <w:vAlign w:val="center"/>
          </w:tcPr>
          <w:p w:rsidR="00260BF8" w:rsidRPr="008C53FA" w:rsidRDefault="00260BF8" w:rsidP="008C03FF">
            <w:pPr>
              <w:spacing w:before="60" w:after="120"/>
            </w:pPr>
            <w:r>
              <w:lastRenderedPageBreak/>
              <w:t>All</w:t>
            </w:r>
          </w:p>
        </w:tc>
        <w:tc>
          <w:tcPr>
            <w:tcW w:w="3240" w:type="dxa"/>
            <w:tcBorders>
              <w:top w:val="single" w:sz="8" w:space="0" w:color="A6A6A6"/>
              <w:left w:val="single" w:sz="8" w:space="0" w:color="A6A6A6"/>
              <w:bottom w:val="single" w:sz="8" w:space="0" w:color="A6A6A6"/>
              <w:right w:val="single" w:sz="8" w:space="0" w:color="A6A6A6"/>
            </w:tcBorders>
          </w:tcPr>
          <w:p w:rsidR="00260BF8" w:rsidRPr="008C53FA" w:rsidRDefault="00260BF8" w:rsidP="008C03FF">
            <w:pPr>
              <w:spacing w:before="60" w:after="120"/>
            </w:pPr>
            <w:r w:rsidRPr="000853E2">
              <w:t xml:space="preserve">Upon completion of </w:t>
            </w:r>
            <w:r>
              <w:t>[it’s evaluation of submitted data files]</w:t>
            </w:r>
            <w:r w:rsidRPr="000853E2">
              <w:t>, the MHDO</w:t>
            </w:r>
            <w:r>
              <w:fldChar w:fldCharType="begin"/>
            </w:r>
            <w:r>
              <w:instrText xml:space="preserve"> XE "</w:instrText>
            </w:r>
            <w:r w:rsidRPr="00C52080">
              <w:instrText>Maine Health Data Organization</w:instrText>
            </w:r>
            <w:r>
              <w:instrText xml:space="preserve">" </w:instrText>
            </w:r>
            <w:r>
              <w:fldChar w:fldCharType="end"/>
            </w:r>
            <w:r w:rsidRPr="000853E2">
              <w:t xml:space="preserve"> will promptly notify each hospital whose data submissions do not satisfy the standards for any filing </w:t>
            </w:r>
            <w:r w:rsidRPr="003019EE">
              <w:t>period</w:t>
            </w:r>
            <w:r w:rsidRPr="003141E1">
              <w:t>.</w:t>
            </w:r>
          </w:p>
        </w:tc>
        <w:tc>
          <w:tcPr>
            <w:tcW w:w="4188" w:type="dxa"/>
            <w:tcBorders>
              <w:top w:val="single" w:sz="8" w:space="0" w:color="A6A6A6"/>
              <w:left w:val="single" w:sz="8" w:space="0" w:color="A6A6A6"/>
              <w:bottom w:val="single" w:sz="8" w:space="0" w:color="A6A6A6"/>
            </w:tcBorders>
          </w:tcPr>
          <w:p w:rsidR="00260BF8" w:rsidRPr="005659DF" w:rsidRDefault="00260BF8" w:rsidP="008C03FF">
            <w:pPr>
              <w:spacing w:before="60" w:after="120"/>
            </w:pPr>
            <w:r w:rsidRPr="005659DF">
              <w:t xml:space="preserve">Upon completion of </w:t>
            </w:r>
            <w:r>
              <w:t>[it’s evaluation of submitted data files]</w:t>
            </w:r>
            <w:r w:rsidRPr="000853E2">
              <w:t>,</w:t>
            </w:r>
            <w:r w:rsidRPr="005659DF">
              <w:t xml:space="preserve"> the MHDO</w:t>
            </w:r>
            <w:r>
              <w:fldChar w:fldCharType="begin"/>
            </w:r>
            <w:r>
              <w:instrText xml:space="preserve"> XE "</w:instrText>
            </w:r>
            <w:r w:rsidRPr="00C52080">
              <w:instrText>Maine Health Data Organization</w:instrText>
            </w:r>
            <w:r>
              <w:instrText xml:space="preserve">" </w:instrText>
            </w:r>
            <w:r>
              <w:fldChar w:fldCharType="end"/>
            </w:r>
            <w:r w:rsidRPr="005659DF">
              <w:t xml:space="preserve"> will promptly notify each hospital whose data submissions do not satisfy the standards for any filing period within 90 days of the quarterly submission deadline.</w:t>
            </w:r>
          </w:p>
        </w:tc>
      </w:tr>
      <w:tr w:rsidR="00260BF8" w:rsidRPr="008C53FA" w:rsidTr="008C03FF">
        <w:trPr>
          <w:cantSplit/>
        </w:trPr>
        <w:tc>
          <w:tcPr>
            <w:tcW w:w="1188" w:type="dxa"/>
            <w:tcBorders>
              <w:top w:val="single" w:sz="8" w:space="0" w:color="A6A6A6"/>
              <w:bottom w:val="single" w:sz="8" w:space="0" w:color="A6A6A6"/>
              <w:right w:val="single" w:sz="8" w:space="0" w:color="A6A6A6"/>
            </w:tcBorders>
            <w:vAlign w:val="center"/>
          </w:tcPr>
          <w:p w:rsidR="00260BF8" w:rsidRPr="008C53FA" w:rsidRDefault="00260BF8" w:rsidP="008C03FF">
            <w:pPr>
              <w:spacing w:before="60" w:after="120"/>
            </w:pPr>
            <w:r>
              <w:t>All</w:t>
            </w:r>
          </w:p>
        </w:tc>
        <w:tc>
          <w:tcPr>
            <w:tcW w:w="3240" w:type="dxa"/>
            <w:tcBorders>
              <w:top w:val="single" w:sz="8" w:space="0" w:color="A6A6A6"/>
              <w:left w:val="single" w:sz="8" w:space="0" w:color="A6A6A6"/>
              <w:bottom w:val="single" w:sz="8" w:space="0" w:color="A6A6A6"/>
              <w:right w:val="single" w:sz="8" w:space="0" w:color="A6A6A6"/>
            </w:tcBorders>
            <w:vAlign w:val="center"/>
          </w:tcPr>
          <w:p w:rsidR="00260BF8" w:rsidRPr="008C53FA" w:rsidRDefault="00260BF8" w:rsidP="008C03FF">
            <w:pPr>
              <w:spacing w:before="60" w:after="120"/>
            </w:pPr>
            <w:r>
              <w:t>Not specified</w:t>
            </w:r>
          </w:p>
        </w:tc>
        <w:tc>
          <w:tcPr>
            <w:tcW w:w="4188" w:type="dxa"/>
            <w:tcBorders>
              <w:top w:val="single" w:sz="8" w:space="0" w:color="A6A6A6"/>
              <w:left w:val="single" w:sz="8" w:space="0" w:color="A6A6A6"/>
              <w:bottom w:val="single" w:sz="8" w:space="0" w:color="A6A6A6"/>
            </w:tcBorders>
          </w:tcPr>
          <w:p w:rsidR="00260BF8" w:rsidRPr="005659DF" w:rsidRDefault="00260BF8" w:rsidP="008C03FF">
            <w:pPr>
              <w:spacing w:before="60" w:after="120"/>
            </w:pPr>
            <w:r w:rsidRPr="00305DBE">
              <w:t>Each hospital, or its survey vendor, must create a, “random, unique, deidentified Patient ID</w:t>
            </w:r>
            <w:r>
              <w:fldChar w:fldCharType="begin"/>
            </w:r>
            <w:r>
              <w:instrText xml:space="preserve"> XE "</w:instrText>
            </w:r>
            <w:r w:rsidRPr="00307215">
              <w:instrText>Patient ID, deidentified</w:instrText>
            </w:r>
            <w:r>
              <w:instrText xml:space="preserve">" </w:instrText>
            </w:r>
            <w:r>
              <w:fldChar w:fldCharType="end"/>
            </w:r>
            <w:r w:rsidRPr="00305DBE">
              <w:t xml:space="preserve"> number” for each person in the survey sample.</w:t>
            </w:r>
          </w:p>
        </w:tc>
      </w:tr>
    </w:tbl>
    <w:p w:rsidR="00260BF8" w:rsidRDefault="00260BF8" w:rsidP="00260BF8">
      <w:r>
        <w:t xml:space="preserve">For more detail, please refer to the November 2013 edition of MHDO’s </w:t>
      </w:r>
      <w:r w:rsidRPr="00D93283">
        <w:rPr>
          <w:i/>
        </w:rPr>
        <w:t xml:space="preserve">Microspecifications Manual for Reporting the </w:t>
      </w:r>
      <w:r>
        <w:rPr>
          <w:i/>
        </w:rPr>
        <w:t>Care Transition Measure (CTM-3) Quality</w:t>
      </w:r>
      <w:r w:rsidRPr="00D93283">
        <w:rPr>
          <w:i/>
        </w:rPr>
        <w:t xml:space="preserve"> Data Set.</w:t>
      </w:r>
      <w:r>
        <w:t xml:space="preserve">  </w:t>
      </w:r>
    </w:p>
    <w:p w:rsidR="00260BF8" w:rsidRDefault="00260BF8" w:rsidP="00260BF8"/>
    <w:p w:rsidR="00260BF8" w:rsidRDefault="00260BF8" w:rsidP="00DD7E7C"/>
    <w:p w:rsidR="00260BF8" w:rsidRDefault="00260BF8" w:rsidP="00260BF8">
      <w:pPr>
        <w:pStyle w:val="Heading1"/>
      </w:pPr>
      <w:bookmarkStart w:id="11" w:name="_Toc373233394"/>
      <w:r>
        <w:lastRenderedPageBreak/>
        <w:t>CMS Hospital Health Care Quality Data Set</w:t>
      </w:r>
      <w:bookmarkEnd w:id="11"/>
    </w:p>
    <w:p w:rsidR="00260BF8" w:rsidRDefault="00260BF8" w:rsidP="00260BF8">
      <w:r>
        <w:t>The new version of Chapter 270 has eliminated the Maine State reporting requirements for three out of the four families of Hospital Health Care Quality Indicators.  Chapter 270 no longer mandates the reporting of any CMS measures related to patients with:</w:t>
      </w:r>
    </w:p>
    <w:p w:rsidR="00260BF8" w:rsidRPr="00F80AD2" w:rsidRDefault="00260BF8" w:rsidP="00260BF8">
      <w:pPr>
        <w:pStyle w:val="ListParagraph"/>
        <w:numPr>
          <w:ilvl w:val="0"/>
          <w:numId w:val="5"/>
        </w:numPr>
        <w:pBdr>
          <w:top w:val="single" w:sz="8" w:space="1" w:color="BFBFBF" w:themeColor="background1" w:themeShade="BF"/>
        </w:pBdr>
        <w:spacing w:before="240" w:after="120"/>
        <w:ind w:left="360"/>
        <w:rPr>
          <w:b/>
        </w:rPr>
      </w:pPr>
      <w:r w:rsidRPr="00F80AD2">
        <w:rPr>
          <w:b/>
        </w:rPr>
        <w:t>Acute Myocardial Infarction (AMI)</w:t>
      </w:r>
    </w:p>
    <w:p w:rsidR="00260BF8" w:rsidRPr="00F80AD2" w:rsidRDefault="00260BF8" w:rsidP="00260BF8">
      <w:pPr>
        <w:spacing w:before="0"/>
        <w:ind w:left="810" w:hanging="242"/>
        <w:rPr>
          <w:b/>
          <w:strike/>
        </w:rPr>
        <w:sectPr w:rsidR="00260BF8" w:rsidRPr="00F80AD2" w:rsidSect="00260BF8">
          <w:footerReference w:type="default" r:id="rId15"/>
          <w:type w:val="continuous"/>
          <w:pgSz w:w="12240" w:h="15840" w:code="1"/>
          <w:pgMar w:top="1440" w:right="1440" w:bottom="1440" w:left="1440" w:header="720" w:footer="720" w:gutter="0"/>
          <w:cols w:space="720"/>
          <w:titlePg/>
          <w:docGrid w:linePitch="360"/>
        </w:sectPr>
      </w:pPr>
    </w:p>
    <w:p w:rsidR="00260BF8" w:rsidRPr="00B70516" w:rsidRDefault="00260BF8" w:rsidP="00260BF8">
      <w:pPr>
        <w:spacing w:before="0"/>
        <w:ind w:left="810" w:hanging="854"/>
        <w:rPr>
          <w:strike/>
          <w:color w:val="7F7F7F" w:themeColor="text1" w:themeTint="80"/>
        </w:rPr>
      </w:pPr>
      <w:r w:rsidRPr="00B70516">
        <w:rPr>
          <w:strike/>
          <w:color w:val="7F7F7F" w:themeColor="text1" w:themeTint="80"/>
        </w:rPr>
        <w:lastRenderedPageBreak/>
        <w:t>AMI-1</w:t>
      </w:r>
      <w:r w:rsidRPr="00B70516">
        <w:rPr>
          <w:strike/>
          <w:color w:val="7F7F7F" w:themeColor="text1" w:themeTint="80"/>
        </w:rPr>
        <w:tab/>
        <w:t>Aspirin at arrival;</w:t>
      </w:r>
    </w:p>
    <w:p w:rsidR="00260BF8" w:rsidRPr="00B70516" w:rsidRDefault="00260BF8" w:rsidP="00260BF8">
      <w:pPr>
        <w:spacing w:before="0"/>
        <w:ind w:left="810" w:hanging="854"/>
        <w:rPr>
          <w:strike/>
          <w:color w:val="7F7F7F" w:themeColor="text1" w:themeTint="80"/>
        </w:rPr>
      </w:pPr>
      <w:r w:rsidRPr="00B70516">
        <w:rPr>
          <w:strike/>
          <w:color w:val="7F7F7F" w:themeColor="text1" w:themeTint="80"/>
        </w:rPr>
        <w:t>AMI-2</w:t>
      </w:r>
      <w:r w:rsidRPr="00B70516">
        <w:rPr>
          <w:strike/>
          <w:color w:val="7F7F7F" w:themeColor="text1" w:themeTint="80"/>
        </w:rPr>
        <w:tab/>
        <w:t>Aspirin prescribed at discharge;</w:t>
      </w:r>
    </w:p>
    <w:p w:rsidR="00260BF8" w:rsidRPr="00B70516" w:rsidRDefault="00260BF8" w:rsidP="00260BF8">
      <w:pPr>
        <w:spacing w:before="0"/>
        <w:ind w:left="810" w:hanging="854"/>
        <w:rPr>
          <w:strike/>
          <w:color w:val="7F7F7F" w:themeColor="text1" w:themeTint="80"/>
        </w:rPr>
      </w:pPr>
      <w:r w:rsidRPr="00B70516">
        <w:rPr>
          <w:strike/>
          <w:color w:val="7F7F7F" w:themeColor="text1" w:themeTint="80"/>
        </w:rPr>
        <w:t>AMI-3</w:t>
      </w:r>
      <w:r w:rsidRPr="00B70516">
        <w:rPr>
          <w:strike/>
          <w:color w:val="7F7F7F" w:themeColor="text1" w:themeTint="80"/>
        </w:rPr>
        <w:tab/>
        <w:t>Angiotensin converting enzyme inhibitor (ACEI) or medication listed in most current CMS Specifications Manual for left ventricular systolic dysfunction (LVSD);</w:t>
      </w:r>
    </w:p>
    <w:p w:rsidR="00260BF8" w:rsidRPr="00B70516" w:rsidRDefault="00260BF8" w:rsidP="00260BF8">
      <w:pPr>
        <w:spacing w:before="0"/>
        <w:ind w:left="720" w:hanging="854"/>
        <w:rPr>
          <w:strike/>
          <w:color w:val="7F7F7F" w:themeColor="text1" w:themeTint="80"/>
        </w:rPr>
      </w:pPr>
      <w:r w:rsidRPr="00B70516">
        <w:rPr>
          <w:strike/>
          <w:color w:val="7F7F7F" w:themeColor="text1" w:themeTint="80"/>
        </w:rPr>
        <w:lastRenderedPageBreak/>
        <w:t>AMI-4</w:t>
      </w:r>
      <w:r w:rsidRPr="00B70516">
        <w:rPr>
          <w:strike/>
          <w:color w:val="7F7F7F" w:themeColor="text1" w:themeTint="80"/>
        </w:rPr>
        <w:tab/>
        <w:t>Adult smoking cessation advice/counseling;</w:t>
      </w:r>
    </w:p>
    <w:p w:rsidR="00260BF8" w:rsidRPr="00B70516" w:rsidRDefault="00260BF8" w:rsidP="00260BF8">
      <w:pPr>
        <w:spacing w:before="0"/>
        <w:ind w:left="720" w:hanging="854"/>
        <w:rPr>
          <w:strike/>
          <w:color w:val="7F7F7F" w:themeColor="text1" w:themeTint="80"/>
        </w:rPr>
      </w:pPr>
      <w:r w:rsidRPr="00B70516">
        <w:rPr>
          <w:strike/>
          <w:color w:val="7F7F7F" w:themeColor="text1" w:themeTint="80"/>
        </w:rPr>
        <w:t>AMI-5</w:t>
      </w:r>
      <w:r w:rsidRPr="00B70516">
        <w:rPr>
          <w:strike/>
          <w:color w:val="7F7F7F" w:themeColor="text1" w:themeTint="80"/>
        </w:rPr>
        <w:tab/>
        <w:t>Beta blocker prescribed at discharge;</w:t>
      </w:r>
    </w:p>
    <w:p w:rsidR="00260BF8" w:rsidRPr="00B70516" w:rsidRDefault="00260BF8" w:rsidP="00260BF8">
      <w:pPr>
        <w:spacing w:before="0"/>
        <w:ind w:left="720" w:hanging="854"/>
        <w:rPr>
          <w:strike/>
          <w:color w:val="7F7F7F" w:themeColor="text1" w:themeTint="80"/>
        </w:rPr>
      </w:pPr>
      <w:r w:rsidRPr="00B70516">
        <w:rPr>
          <w:strike/>
          <w:color w:val="7F7F7F" w:themeColor="text1" w:themeTint="80"/>
        </w:rPr>
        <w:t>AMI-7a</w:t>
      </w:r>
      <w:r w:rsidRPr="00B70516">
        <w:rPr>
          <w:strike/>
          <w:color w:val="7F7F7F" w:themeColor="text1" w:themeTint="80"/>
        </w:rPr>
        <w:tab/>
        <w:t>Timely thrombolytic/fibrinolytic agent at arrival, and;</w:t>
      </w:r>
    </w:p>
    <w:p w:rsidR="00260BF8" w:rsidRPr="00B70516" w:rsidRDefault="00260BF8" w:rsidP="00260BF8">
      <w:pPr>
        <w:spacing w:before="0"/>
        <w:ind w:left="720" w:hanging="854"/>
        <w:rPr>
          <w:strike/>
          <w:color w:val="7F7F7F" w:themeColor="text1" w:themeTint="80"/>
        </w:rPr>
      </w:pPr>
      <w:r w:rsidRPr="00B70516">
        <w:rPr>
          <w:strike/>
          <w:color w:val="7F7F7F" w:themeColor="text1" w:themeTint="80"/>
        </w:rPr>
        <w:t>AMI-8a</w:t>
      </w:r>
      <w:r w:rsidRPr="00B70516">
        <w:rPr>
          <w:strike/>
          <w:color w:val="7F7F7F" w:themeColor="text1" w:themeTint="80"/>
        </w:rPr>
        <w:tab/>
        <w:t>Timely percutaneous coronary intervention (PCI) at arrival.</w:t>
      </w:r>
    </w:p>
    <w:p w:rsidR="00260BF8" w:rsidRPr="00B70516" w:rsidRDefault="00260BF8" w:rsidP="00260BF8">
      <w:pPr>
        <w:pStyle w:val="ListParagraph"/>
        <w:numPr>
          <w:ilvl w:val="0"/>
          <w:numId w:val="5"/>
        </w:numPr>
        <w:rPr>
          <w:strike/>
        </w:rPr>
        <w:sectPr w:rsidR="00260BF8" w:rsidRPr="00B70516" w:rsidSect="00F80AD2">
          <w:type w:val="continuous"/>
          <w:pgSz w:w="12240" w:h="15840"/>
          <w:pgMar w:top="1440" w:right="1440" w:bottom="1440" w:left="1440" w:header="720" w:footer="720" w:gutter="0"/>
          <w:cols w:num="2" w:space="360"/>
          <w:docGrid w:linePitch="360"/>
        </w:sectPr>
      </w:pPr>
    </w:p>
    <w:p w:rsidR="00260BF8" w:rsidRPr="00B70516" w:rsidRDefault="00260BF8" w:rsidP="00260BF8">
      <w:pPr>
        <w:pStyle w:val="ListParagraph"/>
        <w:numPr>
          <w:ilvl w:val="0"/>
          <w:numId w:val="5"/>
        </w:numPr>
        <w:pBdr>
          <w:top w:val="single" w:sz="8" w:space="1" w:color="BFBFBF" w:themeColor="background1" w:themeShade="BF"/>
        </w:pBdr>
        <w:spacing w:before="240" w:after="120"/>
        <w:ind w:left="360"/>
        <w:rPr>
          <w:b/>
        </w:rPr>
        <w:sectPr w:rsidR="00260BF8" w:rsidRPr="00B70516" w:rsidSect="00F80AD2">
          <w:type w:val="continuous"/>
          <w:pgSz w:w="12240" w:h="15840"/>
          <w:pgMar w:top="1440" w:right="1440" w:bottom="1440" w:left="1440" w:header="720" w:footer="720" w:gutter="0"/>
          <w:cols w:space="720"/>
          <w:docGrid w:linePitch="360"/>
        </w:sectPr>
      </w:pPr>
      <w:r w:rsidRPr="00B70516">
        <w:rPr>
          <w:b/>
        </w:rPr>
        <w:lastRenderedPageBreak/>
        <w:t>Heart Failure (HF)</w:t>
      </w:r>
    </w:p>
    <w:p w:rsidR="00260BF8" w:rsidRPr="00B70516" w:rsidRDefault="00260BF8" w:rsidP="00260BF8">
      <w:pPr>
        <w:spacing w:before="0"/>
        <w:ind w:left="810" w:hanging="854"/>
        <w:rPr>
          <w:strike/>
          <w:color w:val="7F7F7F" w:themeColor="text1" w:themeTint="80"/>
        </w:rPr>
      </w:pPr>
      <w:r w:rsidRPr="00B70516">
        <w:rPr>
          <w:strike/>
          <w:color w:val="7F7F7F" w:themeColor="text1" w:themeTint="80"/>
        </w:rPr>
        <w:lastRenderedPageBreak/>
        <w:t>HF-1</w:t>
      </w:r>
      <w:r w:rsidRPr="00B70516">
        <w:rPr>
          <w:strike/>
          <w:color w:val="7F7F7F" w:themeColor="text1" w:themeTint="80"/>
        </w:rPr>
        <w:tab/>
        <w:t>Discharge instructions;</w:t>
      </w:r>
    </w:p>
    <w:p w:rsidR="00260BF8" w:rsidRPr="00B70516" w:rsidRDefault="00260BF8" w:rsidP="00260BF8">
      <w:pPr>
        <w:spacing w:before="0"/>
        <w:ind w:left="810" w:hanging="854"/>
        <w:rPr>
          <w:strike/>
          <w:color w:val="7F7F7F" w:themeColor="text1" w:themeTint="80"/>
        </w:rPr>
      </w:pPr>
      <w:r w:rsidRPr="00B70516">
        <w:rPr>
          <w:strike/>
          <w:color w:val="7F7F7F" w:themeColor="text1" w:themeTint="80"/>
        </w:rPr>
        <w:t>HF-2</w:t>
      </w:r>
      <w:r w:rsidRPr="00B70516">
        <w:rPr>
          <w:strike/>
          <w:color w:val="7F7F7F" w:themeColor="text1" w:themeTint="80"/>
        </w:rPr>
        <w:tab/>
        <w:t>Left ventricular function (LVF) assessment;</w:t>
      </w:r>
    </w:p>
    <w:p w:rsidR="00260BF8" w:rsidRPr="00B70516" w:rsidRDefault="00260BF8" w:rsidP="00260BF8">
      <w:pPr>
        <w:spacing w:before="0"/>
        <w:ind w:left="720" w:hanging="854"/>
        <w:rPr>
          <w:strike/>
          <w:color w:val="7F7F7F" w:themeColor="text1" w:themeTint="80"/>
        </w:rPr>
      </w:pPr>
      <w:r w:rsidRPr="00B70516">
        <w:rPr>
          <w:strike/>
          <w:color w:val="7F7F7F" w:themeColor="text1" w:themeTint="80"/>
        </w:rPr>
        <w:br w:type="column"/>
      </w:r>
      <w:r w:rsidRPr="00B70516">
        <w:rPr>
          <w:strike/>
          <w:color w:val="7F7F7F" w:themeColor="text1" w:themeTint="80"/>
        </w:rPr>
        <w:lastRenderedPageBreak/>
        <w:t>HF-3</w:t>
      </w:r>
      <w:r w:rsidRPr="00B70516">
        <w:rPr>
          <w:strike/>
          <w:color w:val="7F7F7F" w:themeColor="text1" w:themeTint="80"/>
        </w:rPr>
        <w:tab/>
        <w:t>Angiotensin converting enzyme inhibitor (ACEI) or medication listed in most current CMS Specifications Manual for left ventricular systolic dysfunction (LVSD), and;</w:t>
      </w:r>
    </w:p>
    <w:p w:rsidR="00260BF8" w:rsidRDefault="00260BF8" w:rsidP="00260BF8">
      <w:pPr>
        <w:spacing w:before="0"/>
        <w:ind w:left="720" w:hanging="854"/>
        <w:rPr>
          <w:strike/>
          <w:color w:val="7F7F7F" w:themeColor="text1" w:themeTint="80"/>
        </w:rPr>
        <w:sectPr w:rsidR="00260BF8" w:rsidSect="007E04C1">
          <w:type w:val="continuous"/>
          <w:pgSz w:w="12240" w:h="15840"/>
          <w:pgMar w:top="1440" w:right="1440" w:bottom="1440" w:left="1440" w:header="720" w:footer="720" w:gutter="0"/>
          <w:cols w:num="2" w:space="360"/>
          <w:docGrid w:linePitch="360"/>
        </w:sectPr>
      </w:pPr>
      <w:r w:rsidRPr="00B70516">
        <w:rPr>
          <w:strike/>
          <w:color w:val="7F7F7F" w:themeColor="text1" w:themeTint="80"/>
        </w:rPr>
        <w:t>HF-4</w:t>
      </w:r>
      <w:r w:rsidRPr="00B70516">
        <w:rPr>
          <w:strike/>
          <w:color w:val="7F7F7F" w:themeColor="text1" w:themeTint="80"/>
        </w:rPr>
        <w:tab/>
        <w:t>Adult smoking cessation advice/counseling.</w:t>
      </w:r>
    </w:p>
    <w:p w:rsidR="00260BF8" w:rsidRDefault="00260BF8" w:rsidP="00260BF8">
      <w:pPr>
        <w:pStyle w:val="ListParagraph"/>
        <w:numPr>
          <w:ilvl w:val="0"/>
          <w:numId w:val="5"/>
        </w:numPr>
        <w:pBdr>
          <w:top w:val="single" w:sz="8" w:space="1" w:color="BFBFBF" w:themeColor="background1" w:themeShade="BF"/>
        </w:pBdr>
        <w:spacing w:before="240" w:after="120"/>
        <w:ind w:left="360"/>
        <w:rPr>
          <w:b/>
        </w:rPr>
        <w:sectPr w:rsidR="00260BF8" w:rsidSect="006170E5">
          <w:type w:val="continuous"/>
          <w:pgSz w:w="12240" w:h="15840"/>
          <w:pgMar w:top="1440" w:right="1440" w:bottom="1440" w:left="1440" w:header="720" w:footer="720" w:gutter="0"/>
          <w:cols w:space="360"/>
          <w:docGrid w:linePitch="360"/>
        </w:sectPr>
      </w:pPr>
      <w:r w:rsidRPr="00F80AD2">
        <w:rPr>
          <w:b/>
        </w:rPr>
        <w:lastRenderedPageBreak/>
        <w:t>Pneumonia (PN).</w:t>
      </w:r>
    </w:p>
    <w:p w:rsidR="00260BF8" w:rsidRPr="00B70516" w:rsidRDefault="00260BF8" w:rsidP="00260BF8">
      <w:pPr>
        <w:spacing w:before="0"/>
        <w:ind w:left="810" w:hanging="854"/>
        <w:rPr>
          <w:strike/>
          <w:color w:val="7F7F7F" w:themeColor="text1" w:themeTint="80"/>
        </w:rPr>
      </w:pPr>
      <w:r w:rsidRPr="00B70516">
        <w:rPr>
          <w:strike/>
          <w:color w:val="7F7F7F" w:themeColor="text1" w:themeTint="80"/>
        </w:rPr>
        <w:lastRenderedPageBreak/>
        <w:t>PN-2</w:t>
      </w:r>
      <w:r w:rsidRPr="00B70516">
        <w:rPr>
          <w:strike/>
          <w:color w:val="7F7F7F" w:themeColor="text1" w:themeTint="80"/>
        </w:rPr>
        <w:tab/>
        <w:t>Pneumonia screen or vaccination;</w:t>
      </w:r>
    </w:p>
    <w:p w:rsidR="00260BF8" w:rsidRPr="00B70516" w:rsidRDefault="00260BF8" w:rsidP="00260BF8">
      <w:pPr>
        <w:spacing w:before="0"/>
        <w:ind w:left="810" w:hanging="854"/>
        <w:rPr>
          <w:strike/>
          <w:color w:val="7F7F7F" w:themeColor="text1" w:themeTint="80"/>
        </w:rPr>
      </w:pPr>
      <w:r w:rsidRPr="00B70516">
        <w:rPr>
          <w:strike/>
          <w:color w:val="7F7F7F" w:themeColor="text1" w:themeTint="80"/>
        </w:rPr>
        <w:t>PN-4</w:t>
      </w:r>
      <w:r w:rsidRPr="00B70516">
        <w:rPr>
          <w:strike/>
          <w:color w:val="7F7F7F" w:themeColor="text1" w:themeTint="80"/>
        </w:rPr>
        <w:tab/>
        <w:t>Smoking cessation advice/counseling;</w:t>
      </w:r>
    </w:p>
    <w:p w:rsidR="00260BF8" w:rsidRPr="00B70516" w:rsidRDefault="00260BF8" w:rsidP="00260BF8">
      <w:pPr>
        <w:spacing w:before="0"/>
        <w:ind w:left="810" w:hanging="854"/>
        <w:rPr>
          <w:strike/>
          <w:color w:val="7F7F7F" w:themeColor="text1" w:themeTint="80"/>
        </w:rPr>
      </w:pPr>
      <w:r w:rsidRPr="00B70516">
        <w:rPr>
          <w:strike/>
          <w:color w:val="7F7F7F" w:themeColor="text1" w:themeTint="80"/>
        </w:rPr>
        <w:t>PN-5c</w:t>
      </w:r>
      <w:r w:rsidRPr="00B70516">
        <w:rPr>
          <w:strike/>
          <w:color w:val="7F7F7F" w:themeColor="text1" w:themeTint="80"/>
        </w:rPr>
        <w:tab/>
        <w:t>Antibiotics received within 6 hours of hospital arrival;</w:t>
      </w:r>
      <w:r w:rsidRPr="00B70516">
        <w:rPr>
          <w:strike/>
          <w:color w:val="7F7F7F" w:themeColor="text1" w:themeTint="80"/>
        </w:rPr>
        <w:tab/>
      </w:r>
    </w:p>
    <w:p w:rsidR="00260BF8" w:rsidRPr="00B70516" w:rsidRDefault="00260BF8" w:rsidP="00260BF8">
      <w:pPr>
        <w:spacing w:before="0"/>
        <w:ind w:left="810" w:hanging="854"/>
        <w:rPr>
          <w:strike/>
          <w:color w:val="7F7F7F" w:themeColor="text1" w:themeTint="80"/>
        </w:rPr>
      </w:pPr>
      <w:r w:rsidRPr="00B70516">
        <w:rPr>
          <w:strike/>
          <w:color w:val="7F7F7F" w:themeColor="text1" w:themeTint="80"/>
        </w:rPr>
        <w:t>PN-6a</w:t>
      </w:r>
      <w:r w:rsidRPr="00B70516">
        <w:rPr>
          <w:strike/>
          <w:color w:val="7F7F7F" w:themeColor="text1" w:themeTint="80"/>
        </w:rPr>
        <w:tab/>
        <w:t xml:space="preserve">Initial antibiotic selection for community-acquired pneumonia in immunocompetent patients – intensive care unit patients; </w:t>
      </w:r>
    </w:p>
    <w:p w:rsidR="00260BF8" w:rsidRPr="00B70516" w:rsidRDefault="00260BF8" w:rsidP="00260BF8">
      <w:pPr>
        <w:spacing w:before="0"/>
        <w:ind w:left="720" w:hanging="854"/>
        <w:rPr>
          <w:strike/>
          <w:color w:val="7F7F7F" w:themeColor="text1" w:themeTint="80"/>
        </w:rPr>
      </w:pPr>
      <w:r w:rsidRPr="00B70516">
        <w:rPr>
          <w:strike/>
          <w:color w:val="7F7F7F" w:themeColor="text1" w:themeTint="80"/>
        </w:rPr>
        <w:br w:type="column"/>
      </w:r>
      <w:r w:rsidRPr="00B70516">
        <w:rPr>
          <w:strike/>
          <w:color w:val="7F7F7F" w:themeColor="text1" w:themeTint="80"/>
        </w:rPr>
        <w:lastRenderedPageBreak/>
        <w:t>PN-6b</w:t>
      </w:r>
      <w:r w:rsidRPr="00B70516">
        <w:rPr>
          <w:strike/>
          <w:color w:val="7F7F7F" w:themeColor="text1" w:themeTint="80"/>
        </w:rPr>
        <w:tab/>
        <w:t>Initial antibiotic selection for community-acquired pneumonia in immunocompetent patients – non intensive care unit patients, and;</w:t>
      </w:r>
    </w:p>
    <w:p w:rsidR="00260BF8" w:rsidRPr="00B70516" w:rsidRDefault="00260BF8" w:rsidP="00260BF8">
      <w:pPr>
        <w:spacing w:before="0"/>
        <w:ind w:left="720" w:hanging="854"/>
        <w:rPr>
          <w:strike/>
        </w:rPr>
      </w:pPr>
      <w:r w:rsidRPr="00B70516">
        <w:rPr>
          <w:strike/>
          <w:color w:val="7F7F7F" w:themeColor="text1" w:themeTint="80"/>
        </w:rPr>
        <w:t>PN-7</w:t>
      </w:r>
      <w:r w:rsidRPr="00B70516">
        <w:rPr>
          <w:strike/>
          <w:color w:val="7F7F7F" w:themeColor="text1" w:themeTint="80"/>
        </w:rPr>
        <w:tab/>
        <w:t>Influenza screen or vaccination.</w:t>
      </w:r>
    </w:p>
    <w:p w:rsidR="00260BF8" w:rsidRDefault="00260BF8" w:rsidP="00260BF8">
      <w:pPr>
        <w:spacing w:after="120"/>
        <w:rPr>
          <w:strike/>
          <w:color w:val="7F7F7F" w:themeColor="text1" w:themeTint="80"/>
        </w:rPr>
      </w:pPr>
    </w:p>
    <w:p w:rsidR="00260BF8" w:rsidRDefault="00260BF8" w:rsidP="00260BF8">
      <w:pPr>
        <w:spacing w:after="120"/>
        <w:rPr>
          <w:strike/>
          <w:color w:val="7F7F7F" w:themeColor="text1" w:themeTint="80"/>
        </w:rPr>
        <w:sectPr w:rsidR="00260BF8" w:rsidSect="007E04C1">
          <w:type w:val="continuous"/>
          <w:pgSz w:w="12240" w:h="15840"/>
          <w:pgMar w:top="1440" w:right="1440" w:bottom="1440" w:left="1440" w:header="720" w:footer="720" w:gutter="0"/>
          <w:cols w:num="2" w:space="360"/>
          <w:docGrid w:linePitch="360"/>
        </w:sectPr>
      </w:pPr>
    </w:p>
    <w:p w:rsidR="00260BF8" w:rsidRDefault="00260BF8" w:rsidP="00260BF8">
      <w:pPr>
        <w:pStyle w:val="ListParagraph"/>
        <w:numPr>
          <w:ilvl w:val="0"/>
          <w:numId w:val="5"/>
        </w:numPr>
        <w:pBdr>
          <w:top w:val="single" w:sz="8" w:space="1" w:color="BFBFBF" w:themeColor="background1" w:themeShade="BF"/>
        </w:pBdr>
        <w:spacing w:before="240" w:after="120"/>
        <w:ind w:left="360"/>
        <w:rPr>
          <w:b/>
        </w:rPr>
      </w:pPr>
      <w:r w:rsidRPr="00502131">
        <w:rPr>
          <w:b/>
        </w:rPr>
        <w:lastRenderedPageBreak/>
        <w:t>Surgical Care Improvement Project (SCIP)</w:t>
      </w:r>
    </w:p>
    <w:p w:rsidR="00260BF8" w:rsidRDefault="00260BF8" w:rsidP="00260BF8">
      <w:r>
        <w:t xml:space="preserve">Chapter 270 still requires the collection of </w:t>
      </w:r>
      <w:r w:rsidRPr="00754A14">
        <w:t>Surgical Care Improvement Project (SCIP)</w:t>
      </w:r>
      <w:r>
        <w:t xml:space="preserve"> measures via the Quality Improvement Organization (QIO) for Maine.  However, as shown on the next page, some SCIP measures have been dropped while others have been added.</w:t>
      </w:r>
    </w:p>
    <w:p w:rsidR="00260BF8" w:rsidRDefault="00260BF8" w:rsidP="00260BF8">
      <w:pPr>
        <w:rPr>
          <w:i/>
        </w:rPr>
      </w:pPr>
      <w:r>
        <w:rPr>
          <w:i/>
        </w:rPr>
        <w:br w:type="page"/>
      </w:r>
    </w:p>
    <w:p w:rsidR="00260BF8" w:rsidRPr="00222CD7" w:rsidRDefault="00260BF8" w:rsidP="00260BF8">
      <w:pPr>
        <w:pBdr>
          <w:top w:val="single" w:sz="8" w:space="1" w:color="BFBFBF" w:themeColor="background1" w:themeShade="BF"/>
        </w:pBdr>
        <w:spacing w:before="240" w:after="120"/>
        <w:rPr>
          <w:b/>
          <w:i/>
        </w:rPr>
      </w:pPr>
      <w:r>
        <w:rPr>
          <w:b/>
          <w:i/>
        </w:rPr>
        <w:lastRenderedPageBreak/>
        <w:t>SCIP m</w:t>
      </w:r>
      <w:r w:rsidRPr="00222CD7">
        <w:rPr>
          <w:b/>
          <w:i/>
        </w:rPr>
        <w:t>easures retained from the former Chapter 270 list:</w:t>
      </w:r>
    </w:p>
    <w:p w:rsidR="00260BF8" w:rsidRPr="00222CD7" w:rsidRDefault="00260BF8" w:rsidP="00260BF8">
      <w:pPr>
        <w:pStyle w:val="ListParagraph"/>
        <w:numPr>
          <w:ilvl w:val="0"/>
          <w:numId w:val="5"/>
        </w:numPr>
        <w:rPr>
          <w:b/>
        </w:rPr>
        <w:sectPr w:rsidR="00260BF8" w:rsidRPr="00222CD7" w:rsidSect="006170E5">
          <w:type w:val="continuous"/>
          <w:pgSz w:w="12240" w:h="15840"/>
          <w:pgMar w:top="1440" w:right="1440" w:bottom="1440" w:left="1440" w:header="720" w:footer="720" w:gutter="0"/>
          <w:cols w:space="720"/>
          <w:docGrid w:linePitch="360"/>
        </w:sectPr>
      </w:pPr>
    </w:p>
    <w:p w:rsidR="00260BF8" w:rsidRPr="00E772BE" w:rsidRDefault="00260BF8" w:rsidP="00260BF8">
      <w:pPr>
        <w:spacing w:before="0"/>
        <w:ind w:left="810" w:hanging="854"/>
      </w:pPr>
      <w:r w:rsidRPr="00E772BE">
        <w:lastRenderedPageBreak/>
        <w:t xml:space="preserve">SCIP-Inf-1a-h:  Prophylactic antibiotic received within one hour prior to surgical incision – overall rate and seven subcategory surgery rates </w:t>
      </w:r>
    </w:p>
    <w:p w:rsidR="00260BF8" w:rsidRPr="00E772BE" w:rsidRDefault="00260BF8" w:rsidP="00260BF8">
      <w:pPr>
        <w:spacing w:before="0"/>
        <w:ind w:left="810" w:hanging="854"/>
      </w:pPr>
      <w:r w:rsidRPr="00E772BE">
        <w:t xml:space="preserve">SCIP-Inf-2a-h:  Prophylactic antibiotic selection for surgical patients – overall rate and seven subcategory surgery rates </w:t>
      </w:r>
    </w:p>
    <w:p w:rsidR="00260BF8" w:rsidRPr="00E772BE" w:rsidRDefault="00260BF8" w:rsidP="00260BF8">
      <w:pPr>
        <w:spacing w:before="0"/>
        <w:ind w:left="810" w:hanging="854"/>
      </w:pPr>
      <w:r w:rsidRPr="00E772BE">
        <w:t xml:space="preserve">SCIP-Inf-3a-h:  Prophylactic antibiotics discontinued within 24 hours after surgery end time – overall rate and seven subcategory surgery rates </w:t>
      </w:r>
    </w:p>
    <w:p w:rsidR="00260BF8" w:rsidRPr="00E772BE" w:rsidRDefault="00260BF8" w:rsidP="00260BF8">
      <w:pPr>
        <w:spacing w:before="0"/>
        <w:ind w:left="810" w:hanging="854"/>
      </w:pPr>
      <w:r w:rsidRPr="00E772BE">
        <w:lastRenderedPageBreak/>
        <w:t>SCIP-Inf-4: Cardiac surgery patients with controlled 6 A.M. postoperative serum glucose</w:t>
      </w:r>
    </w:p>
    <w:p w:rsidR="00260BF8" w:rsidRPr="00E772BE" w:rsidRDefault="00260BF8" w:rsidP="00260BF8">
      <w:pPr>
        <w:spacing w:before="0"/>
        <w:ind w:left="810" w:hanging="854"/>
      </w:pPr>
      <w:r w:rsidRPr="00E772BE">
        <w:t>SCIP-Inf-10:  Surgery patients with perioperative temperature management</w:t>
      </w:r>
    </w:p>
    <w:p w:rsidR="00260BF8" w:rsidRDefault="00260BF8" w:rsidP="00260BF8">
      <w:pPr>
        <w:spacing w:before="0"/>
        <w:ind w:left="810" w:hanging="854"/>
      </w:pPr>
      <w:r w:rsidRPr="00E772BE">
        <w:t>SCIP-VTE-2:  Surgery patients who received appropriate venous thromboembolism (VTE) prophylaxis within 24 hours prior to surgery to 24 h</w:t>
      </w:r>
      <w:r>
        <w:t>ours after surgery</w:t>
      </w:r>
    </w:p>
    <w:p w:rsidR="00260BF8" w:rsidRDefault="00260BF8" w:rsidP="00260BF8">
      <w:pPr>
        <w:rPr>
          <w:i/>
        </w:rPr>
        <w:sectPr w:rsidR="00260BF8" w:rsidSect="00E772BE">
          <w:type w:val="continuous"/>
          <w:pgSz w:w="12240" w:h="15840"/>
          <w:pgMar w:top="1440" w:right="1440" w:bottom="1440" w:left="1440" w:header="720" w:footer="720" w:gutter="0"/>
          <w:cols w:num="2" w:space="360"/>
          <w:docGrid w:linePitch="360"/>
        </w:sectPr>
      </w:pPr>
    </w:p>
    <w:p w:rsidR="00260BF8" w:rsidRPr="00222CD7" w:rsidRDefault="00260BF8" w:rsidP="00260BF8">
      <w:pPr>
        <w:pBdr>
          <w:top w:val="single" w:sz="8" w:space="1" w:color="BFBFBF" w:themeColor="background1" w:themeShade="BF"/>
        </w:pBdr>
        <w:spacing w:before="480"/>
        <w:rPr>
          <w:b/>
          <w:i/>
        </w:rPr>
        <w:sectPr w:rsidR="00260BF8" w:rsidRPr="00222CD7" w:rsidSect="006170E5">
          <w:type w:val="continuous"/>
          <w:pgSz w:w="12240" w:h="15840"/>
          <w:pgMar w:top="1440" w:right="1440" w:bottom="1440" w:left="1440" w:header="720" w:footer="720" w:gutter="0"/>
          <w:cols w:space="720"/>
          <w:docGrid w:linePitch="360"/>
        </w:sectPr>
      </w:pPr>
      <w:r>
        <w:rPr>
          <w:b/>
          <w:i/>
        </w:rPr>
        <w:lastRenderedPageBreak/>
        <w:t>SCIP m</w:t>
      </w:r>
      <w:r w:rsidRPr="00222CD7">
        <w:rPr>
          <w:b/>
          <w:i/>
        </w:rPr>
        <w:t>easures removed</w:t>
      </w:r>
      <w:r>
        <w:rPr>
          <w:b/>
          <w:i/>
        </w:rPr>
        <w:t xml:space="preserve"> from Chapter 270</w:t>
      </w:r>
      <w:r w:rsidRPr="00222CD7">
        <w:rPr>
          <w:b/>
          <w:i/>
        </w:rPr>
        <w:t>:</w:t>
      </w:r>
    </w:p>
    <w:p w:rsidR="00260BF8" w:rsidRPr="00222CD7" w:rsidRDefault="00260BF8" w:rsidP="00260BF8">
      <w:pPr>
        <w:ind w:left="810" w:hanging="854"/>
        <w:rPr>
          <w:strike/>
          <w:color w:val="595959" w:themeColor="text1" w:themeTint="A6"/>
        </w:rPr>
      </w:pPr>
      <w:r w:rsidRPr="00222CD7">
        <w:rPr>
          <w:strike/>
          <w:color w:val="595959" w:themeColor="text1" w:themeTint="A6"/>
        </w:rPr>
        <w:lastRenderedPageBreak/>
        <w:t>SCIP-Inf-6:  Surgery patients with appropriate hair removal;</w:t>
      </w:r>
    </w:p>
    <w:p w:rsidR="00260BF8" w:rsidRPr="00222CD7" w:rsidRDefault="00260BF8" w:rsidP="00260BF8">
      <w:pPr>
        <w:ind w:left="810" w:hanging="854"/>
        <w:rPr>
          <w:strike/>
          <w:color w:val="595959" w:themeColor="text1" w:themeTint="A6"/>
        </w:rPr>
      </w:pPr>
      <w:r w:rsidRPr="00222CD7">
        <w:rPr>
          <w:strike/>
          <w:color w:val="595959" w:themeColor="text1" w:themeTint="A6"/>
        </w:rPr>
        <w:br w:type="column"/>
      </w:r>
      <w:r w:rsidRPr="00222CD7">
        <w:rPr>
          <w:strike/>
          <w:color w:val="595959" w:themeColor="text1" w:themeTint="A6"/>
        </w:rPr>
        <w:lastRenderedPageBreak/>
        <w:t>SCIP-VTE-1:  Surgery patients with recommended venous thromboembolism (VTE) prophylaxis ordered</w:t>
      </w:r>
    </w:p>
    <w:p w:rsidR="00260BF8" w:rsidRPr="00222CD7" w:rsidRDefault="00260BF8" w:rsidP="00260BF8">
      <w:pPr>
        <w:rPr>
          <w:i/>
          <w:strike/>
          <w:color w:val="595959" w:themeColor="text1" w:themeTint="A6"/>
        </w:rPr>
        <w:sectPr w:rsidR="00260BF8" w:rsidRPr="00222CD7" w:rsidSect="00287A71">
          <w:type w:val="continuous"/>
          <w:pgSz w:w="12240" w:h="15840"/>
          <w:pgMar w:top="1440" w:right="1440" w:bottom="1440" w:left="1440" w:header="720" w:footer="720" w:gutter="0"/>
          <w:cols w:num="2" w:space="360"/>
          <w:docGrid w:linePitch="360"/>
        </w:sectPr>
      </w:pPr>
    </w:p>
    <w:p w:rsidR="00260BF8" w:rsidRPr="00222CD7" w:rsidRDefault="00260BF8" w:rsidP="00260BF8">
      <w:pPr>
        <w:pBdr>
          <w:top w:val="single" w:sz="8" w:space="1" w:color="BFBFBF" w:themeColor="background1" w:themeShade="BF"/>
        </w:pBdr>
        <w:spacing w:before="480"/>
        <w:rPr>
          <w:b/>
          <w:i/>
        </w:rPr>
        <w:sectPr w:rsidR="00260BF8" w:rsidRPr="00222CD7" w:rsidSect="006170E5">
          <w:type w:val="continuous"/>
          <w:pgSz w:w="12240" w:h="15840"/>
          <w:pgMar w:top="1440" w:right="1440" w:bottom="1440" w:left="1440" w:header="720" w:footer="720" w:gutter="0"/>
          <w:cols w:space="720"/>
          <w:docGrid w:linePitch="360"/>
        </w:sectPr>
      </w:pPr>
      <w:r w:rsidRPr="00222CD7">
        <w:rPr>
          <w:b/>
          <w:i/>
        </w:rPr>
        <w:lastRenderedPageBreak/>
        <w:t xml:space="preserve">New </w:t>
      </w:r>
      <w:r>
        <w:rPr>
          <w:b/>
          <w:i/>
        </w:rPr>
        <w:t xml:space="preserve">SCIP </w:t>
      </w:r>
      <w:r w:rsidRPr="00222CD7">
        <w:rPr>
          <w:b/>
          <w:i/>
        </w:rPr>
        <w:t>measures added</w:t>
      </w:r>
      <w:r>
        <w:rPr>
          <w:b/>
          <w:i/>
        </w:rPr>
        <w:t xml:space="preserve"> by Chapter 270</w:t>
      </w:r>
      <w:r w:rsidRPr="00222CD7">
        <w:rPr>
          <w:b/>
          <w:i/>
        </w:rPr>
        <w:t>:</w:t>
      </w:r>
    </w:p>
    <w:p w:rsidR="00260BF8" w:rsidRDefault="00260BF8" w:rsidP="00260BF8">
      <w:pPr>
        <w:ind w:left="810" w:hanging="854"/>
      </w:pPr>
      <w:r>
        <w:lastRenderedPageBreak/>
        <w:t>SCIP-Card-2:  Surgery patients on beta-blocker therapy prior to arrival who received a beta-blocker during the perioperative period</w:t>
      </w:r>
    </w:p>
    <w:p w:rsidR="00260BF8" w:rsidRDefault="00260BF8" w:rsidP="00260BF8">
      <w:pPr>
        <w:ind w:left="810" w:hanging="854"/>
      </w:pPr>
      <w:r>
        <w:lastRenderedPageBreak/>
        <w:t>SCIP-Inf-09:  Urinary catheter removed on postoperative day I (POD 1) or postoperative day 2 (POD 2)</w:t>
      </w:r>
    </w:p>
    <w:p w:rsidR="00260BF8" w:rsidRDefault="00260BF8" w:rsidP="00260BF8">
      <w:pPr>
        <w:sectPr w:rsidR="00260BF8" w:rsidSect="007B10AD">
          <w:type w:val="continuous"/>
          <w:pgSz w:w="12240" w:h="15840"/>
          <w:pgMar w:top="1440" w:right="1440" w:bottom="1440" w:left="1440" w:header="720" w:footer="720" w:gutter="0"/>
          <w:cols w:num="2" w:space="360"/>
          <w:docGrid w:linePitch="360"/>
        </w:sectPr>
      </w:pPr>
    </w:p>
    <w:p w:rsidR="00260BF8" w:rsidRDefault="00260BF8" w:rsidP="00260BF8"/>
    <w:p w:rsidR="00DD7E7C" w:rsidRPr="00DD7E7C" w:rsidRDefault="00DD7E7C" w:rsidP="00DD7E7C"/>
    <w:sectPr w:rsidR="00DD7E7C" w:rsidRPr="00DD7E7C" w:rsidSect="001F7C62">
      <w:footerReference w:type="default" r:id="rId1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E7C" w:rsidRDefault="00DD7E7C" w:rsidP="00DD7E7C">
      <w:pPr>
        <w:spacing w:before="0"/>
      </w:pPr>
      <w:r>
        <w:separator/>
      </w:r>
    </w:p>
  </w:endnote>
  <w:endnote w:type="continuationSeparator" w:id="0">
    <w:p w:rsidR="00DD7E7C" w:rsidRDefault="00DD7E7C" w:rsidP="00DD7E7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altName w:val="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BF8" w:rsidRDefault="00260BF8">
    <w:pPr>
      <w:pStyle w:val="Footer"/>
      <w:jc w:val="right"/>
    </w:pPr>
    <w:r>
      <w:t xml:space="preserve">Page </w:t>
    </w:r>
    <w:sdt>
      <w:sdtPr>
        <w:id w:val="-6444292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A2871">
          <w:rPr>
            <w:noProof/>
          </w:rPr>
          <w:t>12</w:t>
        </w:r>
        <w:r>
          <w:rPr>
            <w:noProof/>
          </w:rPr>
          <w:fldChar w:fldCharType="end"/>
        </w:r>
      </w:sdtContent>
    </w:sdt>
  </w:p>
  <w:p w:rsidR="00260BF8" w:rsidRDefault="00260B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C62" w:rsidRDefault="001F7C62">
    <w:pPr>
      <w:pStyle w:val="Footer"/>
      <w:jc w:val="right"/>
    </w:pPr>
    <w:r>
      <w:t xml:space="preserve">Page </w:t>
    </w:r>
    <w:sdt>
      <w:sdtPr>
        <w:id w:val="-9098543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60BF8">
          <w:rPr>
            <w:noProof/>
          </w:rPr>
          <w:t>11</w:t>
        </w:r>
        <w:r>
          <w:rPr>
            <w:noProof/>
          </w:rPr>
          <w:fldChar w:fldCharType="end"/>
        </w:r>
      </w:sdtContent>
    </w:sdt>
  </w:p>
  <w:p w:rsidR="001F7C62" w:rsidRDefault="001F7C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E7C" w:rsidRDefault="00DD7E7C" w:rsidP="00DD7E7C">
      <w:pPr>
        <w:spacing w:before="0"/>
      </w:pPr>
      <w:r>
        <w:separator/>
      </w:r>
    </w:p>
  </w:footnote>
  <w:footnote w:type="continuationSeparator" w:id="0">
    <w:p w:rsidR="00DD7E7C" w:rsidRDefault="00DD7E7C" w:rsidP="00DD7E7C">
      <w:pPr>
        <w:spacing w:before="0"/>
      </w:pPr>
      <w:r>
        <w:continuationSeparator/>
      </w:r>
    </w:p>
  </w:footnote>
  <w:footnote w:id="1">
    <w:p w:rsidR="00DD7E7C" w:rsidRDefault="00DD7E7C" w:rsidP="00DD7E7C">
      <w:pPr>
        <w:pStyle w:val="FootnoteText"/>
        <w:ind w:left="180" w:hanging="180"/>
      </w:pPr>
      <w:r>
        <w:rPr>
          <w:rStyle w:val="FootnoteReference"/>
        </w:rPr>
        <w:t>†</w:t>
      </w:r>
      <w:r>
        <w:tab/>
        <w:t>The American Nurses Association</w:t>
      </w:r>
      <w:r>
        <w:fldChar w:fldCharType="begin"/>
      </w:r>
      <w:r>
        <w:instrText xml:space="preserve"> XE "</w:instrText>
      </w:r>
      <w:r w:rsidRPr="007E228B">
        <w:instrText>American Nurses Association</w:instrText>
      </w:r>
      <w:r>
        <w:instrText xml:space="preserve">" </w:instrText>
      </w:r>
      <w:r>
        <w:fldChar w:fldCharType="end"/>
      </w:r>
      <w:r>
        <w:t xml:space="preserve"> has confirmed that the new NDNQI</w:t>
      </w:r>
      <w:r>
        <w:fldChar w:fldCharType="begin"/>
      </w:r>
      <w:r>
        <w:instrText xml:space="preserve"> XE "</w:instrText>
      </w:r>
      <w:r w:rsidRPr="00B360AC">
        <w:instrText>NDNQI</w:instrText>
      </w:r>
      <w:r>
        <w:instrText xml:space="preserve">" </w:instrText>
      </w:r>
      <w:r>
        <w:fldChar w:fldCharType="end"/>
      </w:r>
      <w:r>
        <w:t xml:space="preserve"> March 2013 </w:t>
      </w:r>
      <w:r w:rsidRPr="007A2DF1">
        <w:rPr>
          <w:i/>
        </w:rPr>
        <w:t>Guidelines</w:t>
      </w:r>
      <w:r>
        <w:t xml:space="preserve"> on patient falls</w:t>
      </w:r>
      <w:r>
        <w:fldChar w:fldCharType="begin"/>
      </w:r>
      <w:r>
        <w:instrText xml:space="preserve"> XE "</w:instrText>
      </w:r>
      <w:r w:rsidRPr="00426AEE">
        <w:instrText>falls</w:instrText>
      </w:r>
      <w:r>
        <w:instrText xml:space="preserve">" </w:instrText>
      </w:r>
      <w:r>
        <w:fldChar w:fldCharType="end"/>
      </w:r>
      <w:r>
        <w:t xml:space="preserve"> </w:t>
      </w:r>
      <w:r>
        <w:br/>
      </w:r>
      <w:r w:rsidRPr="007A2DF1">
        <w:rPr>
          <w:b/>
          <w:u w:val="single"/>
        </w:rPr>
        <w:t>do not</w:t>
      </w:r>
      <w:r>
        <w:t xml:space="preserve"> apply to the National Quality Forum (NQF)-endorsed falls measures.  The 2013 NDNQI </w:t>
      </w:r>
      <w:r w:rsidRPr="007A2DF1">
        <w:rPr>
          <w:i/>
        </w:rPr>
        <w:t>Guidelines</w:t>
      </w:r>
      <w:r>
        <w:t xml:space="preserve"> pertain solely to data that hospitals submit for their own internal reporting purposes.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A63B6"/>
    <w:multiLevelType w:val="hybridMultilevel"/>
    <w:tmpl w:val="F120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5010A9"/>
    <w:multiLevelType w:val="hybridMultilevel"/>
    <w:tmpl w:val="99B2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EA66A6"/>
    <w:multiLevelType w:val="hybridMultilevel"/>
    <w:tmpl w:val="6EA2D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190C77"/>
    <w:multiLevelType w:val="multilevel"/>
    <w:tmpl w:val="C64E4C36"/>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BEA3EE8"/>
    <w:multiLevelType w:val="hybridMultilevel"/>
    <w:tmpl w:val="263E8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0A73CC"/>
    <w:multiLevelType w:val="hybridMultilevel"/>
    <w:tmpl w:val="8940C964"/>
    <w:lvl w:ilvl="0" w:tplc="064C0758">
      <w:start w:val="1"/>
      <w:numFmt w:val="bullet"/>
      <w:pStyle w:val="Bullet1"/>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EB11B75"/>
    <w:multiLevelType w:val="hybridMultilevel"/>
    <w:tmpl w:val="2D1E3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D819B0"/>
    <w:multiLevelType w:val="hybridMultilevel"/>
    <w:tmpl w:val="02105D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5"/>
  </w:num>
  <w:num w:numId="5">
    <w:abstractNumId w:val="4"/>
  </w:num>
  <w:num w:numId="6">
    <w:abstractNumId w:val="0"/>
  </w:num>
  <w:num w:numId="7">
    <w:abstractNumId w:val="2"/>
  </w:num>
  <w:num w:numId="8">
    <w:abstractNumId w:val="1"/>
  </w:num>
  <w:num w:numId="9">
    <w:abstractNumId w:val="3"/>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25A"/>
    <w:rsid w:val="000168CC"/>
    <w:rsid w:val="00075F81"/>
    <w:rsid w:val="000867BC"/>
    <w:rsid w:val="00102B3E"/>
    <w:rsid w:val="0012592F"/>
    <w:rsid w:val="001A374E"/>
    <w:rsid w:val="001F7C62"/>
    <w:rsid w:val="00222CD7"/>
    <w:rsid w:val="00260BF8"/>
    <w:rsid w:val="00287A71"/>
    <w:rsid w:val="002C2064"/>
    <w:rsid w:val="003302EB"/>
    <w:rsid w:val="00351DB1"/>
    <w:rsid w:val="003844D5"/>
    <w:rsid w:val="00402404"/>
    <w:rsid w:val="0044125A"/>
    <w:rsid w:val="00502131"/>
    <w:rsid w:val="00515DF5"/>
    <w:rsid w:val="00575DDC"/>
    <w:rsid w:val="005B7002"/>
    <w:rsid w:val="005F1AAD"/>
    <w:rsid w:val="006170E5"/>
    <w:rsid w:val="006433A9"/>
    <w:rsid w:val="006B24FA"/>
    <w:rsid w:val="006E60CC"/>
    <w:rsid w:val="007338D7"/>
    <w:rsid w:val="00754A14"/>
    <w:rsid w:val="00757586"/>
    <w:rsid w:val="007868E1"/>
    <w:rsid w:val="007B10AD"/>
    <w:rsid w:val="007C2565"/>
    <w:rsid w:val="007C6394"/>
    <w:rsid w:val="007E04C1"/>
    <w:rsid w:val="007E54F8"/>
    <w:rsid w:val="00885219"/>
    <w:rsid w:val="008C4C1E"/>
    <w:rsid w:val="009916E2"/>
    <w:rsid w:val="009D3F7A"/>
    <w:rsid w:val="00A6660D"/>
    <w:rsid w:val="00B70516"/>
    <w:rsid w:val="00BA1E8D"/>
    <w:rsid w:val="00BA2871"/>
    <w:rsid w:val="00BB24B5"/>
    <w:rsid w:val="00BB68A8"/>
    <w:rsid w:val="00C13AE9"/>
    <w:rsid w:val="00C23D95"/>
    <w:rsid w:val="00C772A1"/>
    <w:rsid w:val="00CC7E6D"/>
    <w:rsid w:val="00CE1754"/>
    <w:rsid w:val="00CE2CE0"/>
    <w:rsid w:val="00D93283"/>
    <w:rsid w:val="00DA4133"/>
    <w:rsid w:val="00DD7E7C"/>
    <w:rsid w:val="00DE795F"/>
    <w:rsid w:val="00E32A12"/>
    <w:rsid w:val="00E35331"/>
    <w:rsid w:val="00E52E7A"/>
    <w:rsid w:val="00E772BE"/>
    <w:rsid w:val="00F6091F"/>
    <w:rsid w:val="00F80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28780-646D-48E3-9D6C-A8AE5C18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133"/>
    <w:pPr>
      <w:autoSpaceDE w:val="0"/>
      <w:autoSpaceDN w:val="0"/>
      <w:adjustRightInd w:val="0"/>
      <w:spacing w:before="120"/>
    </w:pPr>
    <w:rPr>
      <w:rFonts w:ascii="Times New Roman" w:hAnsi="Times New Roman"/>
      <w:sz w:val="24"/>
      <w:szCs w:val="24"/>
    </w:rPr>
  </w:style>
  <w:style w:type="paragraph" w:styleId="Heading1">
    <w:name w:val="heading 1"/>
    <w:basedOn w:val="Normal"/>
    <w:next w:val="Heading2"/>
    <w:link w:val="Heading1Char"/>
    <w:uiPriority w:val="9"/>
    <w:qFormat/>
    <w:rsid w:val="00260BF8"/>
    <w:pPr>
      <w:keepNext/>
      <w:pageBreakBefore/>
      <w:widowControl w:val="0"/>
      <w:numPr>
        <w:numId w:val="9"/>
      </w:numPr>
      <w:spacing w:before="360" w:after="120"/>
      <w:outlineLvl w:val="0"/>
    </w:pPr>
    <w:rPr>
      <w:rFonts w:ascii="Arial" w:eastAsiaTheme="majorEastAsia" w:hAnsi="Arial" w:cs="Arial"/>
      <w:b/>
      <w:bCs/>
      <w:caps/>
      <w:sz w:val="28"/>
    </w:rPr>
  </w:style>
  <w:style w:type="paragraph" w:styleId="Heading2">
    <w:name w:val="heading 2"/>
    <w:basedOn w:val="Normal"/>
    <w:next w:val="Normal"/>
    <w:link w:val="Heading2Char"/>
    <w:uiPriority w:val="9"/>
    <w:unhideWhenUsed/>
    <w:qFormat/>
    <w:rsid w:val="00DA4133"/>
    <w:pPr>
      <w:keepNext/>
      <w:widowControl w:val="0"/>
      <w:pBdr>
        <w:top w:val="single" w:sz="8" w:space="6" w:color="BFBFBF"/>
      </w:pBdr>
      <w:spacing w:before="240" w:after="120"/>
      <w:outlineLvl w:val="1"/>
    </w:pPr>
    <w:rPr>
      <w:rFonts w:ascii="Arial" w:eastAsiaTheme="majorEastAsia" w:hAnsi="Arial" w:cs="Arial"/>
      <w:b/>
      <w:bCs/>
      <w:sz w:val="26"/>
      <w:szCs w:val="26"/>
    </w:rPr>
  </w:style>
  <w:style w:type="paragraph" w:styleId="Heading3">
    <w:name w:val="heading 3"/>
    <w:basedOn w:val="Normal"/>
    <w:next w:val="Normal"/>
    <w:link w:val="Heading3Char"/>
    <w:uiPriority w:val="9"/>
    <w:unhideWhenUsed/>
    <w:qFormat/>
    <w:rsid w:val="00DA4133"/>
    <w:pPr>
      <w:keepNext/>
      <w:spacing w:after="60"/>
      <w:ind w:left="3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1A374E"/>
    <w:pPr>
      <w:ind w:left="360" w:hanging="3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12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125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25A"/>
    <w:rPr>
      <w:rFonts w:ascii="Segoe UI" w:hAnsi="Segoe UI" w:cs="Segoe UI"/>
      <w:sz w:val="18"/>
      <w:szCs w:val="18"/>
    </w:rPr>
  </w:style>
  <w:style w:type="paragraph" w:styleId="ListParagraph">
    <w:name w:val="List Paragraph"/>
    <w:basedOn w:val="Normal"/>
    <w:uiPriority w:val="34"/>
    <w:qFormat/>
    <w:rsid w:val="00C13AE9"/>
    <w:pPr>
      <w:ind w:left="720"/>
    </w:pPr>
  </w:style>
  <w:style w:type="character" w:styleId="Hyperlink">
    <w:name w:val="Hyperlink"/>
    <w:basedOn w:val="DefaultParagraphFont"/>
    <w:uiPriority w:val="99"/>
    <w:unhideWhenUsed/>
    <w:rsid w:val="00CE1754"/>
    <w:rPr>
      <w:color w:val="0000FF" w:themeColor="hyperlink"/>
      <w:u w:val="single"/>
    </w:rPr>
  </w:style>
  <w:style w:type="character" w:customStyle="1" w:styleId="Heading1Char">
    <w:name w:val="Heading 1 Char"/>
    <w:link w:val="Heading1"/>
    <w:uiPriority w:val="9"/>
    <w:rsid w:val="00260BF8"/>
    <w:rPr>
      <w:rFonts w:ascii="Arial" w:eastAsiaTheme="majorEastAsia" w:hAnsi="Arial" w:cs="Arial"/>
      <w:b/>
      <w:bCs/>
      <w:caps/>
      <w:sz w:val="28"/>
      <w:szCs w:val="24"/>
    </w:rPr>
  </w:style>
  <w:style w:type="paragraph" w:customStyle="1" w:styleId="Measures">
    <w:name w:val="Measures"/>
    <w:basedOn w:val="Heading2"/>
    <w:link w:val="MeasuresChar"/>
    <w:qFormat/>
    <w:rsid w:val="00DA4133"/>
    <w:pPr>
      <w:ind w:left="900" w:hanging="900"/>
    </w:pPr>
    <w:rPr>
      <w:rFonts w:eastAsia="Times New Roman"/>
    </w:rPr>
  </w:style>
  <w:style w:type="character" w:customStyle="1" w:styleId="MeasuresChar">
    <w:name w:val="Measures Char"/>
    <w:link w:val="Measures"/>
    <w:rsid w:val="00DA4133"/>
    <w:rPr>
      <w:rFonts w:ascii="Arial" w:hAnsi="Arial" w:cs="Arial"/>
      <w:b/>
      <w:bCs/>
      <w:sz w:val="26"/>
      <w:szCs w:val="26"/>
    </w:rPr>
  </w:style>
  <w:style w:type="character" w:customStyle="1" w:styleId="Heading2Char">
    <w:name w:val="Heading 2 Char"/>
    <w:link w:val="Heading2"/>
    <w:uiPriority w:val="9"/>
    <w:rsid w:val="00DA4133"/>
    <w:rPr>
      <w:rFonts w:ascii="Arial" w:eastAsiaTheme="majorEastAsia" w:hAnsi="Arial" w:cs="Arial"/>
      <w:b/>
      <w:bCs/>
      <w:sz w:val="26"/>
      <w:szCs w:val="26"/>
    </w:rPr>
  </w:style>
  <w:style w:type="paragraph" w:customStyle="1" w:styleId="Bullet1">
    <w:name w:val="Bullet 1"/>
    <w:basedOn w:val="Normal"/>
    <w:qFormat/>
    <w:rsid w:val="00DA4133"/>
    <w:pPr>
      <w:widowControl w:val="0"/>
      <w:numPr>
        <w:numId w:val="4"/>
      </w:numPr>
    </w:pPr>
  </w:style>
  <w:style w:type="paragraph" w:customStyle="1" w:styleId="Question">
    <w:name w:val="Question"/>
    <w:basedOn w:val="Normal"/>
    <w:link w:val="QuestionChar"/>
    <w:qFormat/>
    <w:rsid w:val="00DA4133"/>
    <w:pPr>
      <w:keepNext/>
      <w:tabs>
        <w:tab w:val="decimal" w:pos="-180"/>
      </w:tabs>
      <w:spacing w:before="360" w:after="240"/>
      <w:ind w:hanging="446"/>
    </w:pPr>
    <w:rPr>
      <w:b/>
      <w:i/>
      <w:szCs w:val="26"/>
    </w:rPr>
  </w:style>
  <w:style w:type="character" w:customStyle="1" w:styleId="QuestionChar">
    <w:name w:val="Question Char"/>
    <w:link w:val="Question"/>
    <w:rsid w:val="00DA4133"/>
    <w:rPr>
      <w:rFonts w:ascii="Times New Roman" w:hAnsi="Times New Roman"/>
      <w:b/>
      <w:i/>
      <w:sz w:val="24"/>
      <w:szCs w:val="26"/>
    </w:rPr>
  </w:style>
  <w:style w:type="paragraph" w:customStyle="1" w:styleId="Quotation">
    <w:name w:val="Quotation"/>
    <w:basedOn w:val="Normal"/>
    <w:link w:val="QuotationChar"/>
    <w:qFormat/>
    <w:rsid w:val="00DA4133"/>
    <w:pPr>
      <w:ind w:left="720" w:right="803"/>
    </w:pPr>
    <w:rPr>
      <w:i/>
      <w:iCs/>
    </w:rPr>
  </w:style>
  <w:style w:type="character" w:customStyle="1" w:styleId="QuotationChar">
    <w:name w:val="Quotation Char"/>
    <w:link w:val="Quotation"/>
    <w:rsid w:val="00DA4133"/>
    <w:rPr>
      <w:rFonts w:ascii="Times New Roman" w:hAnsi="Times New Roman"/>
      <w:i/>
      <w:iCs/>
      <w:sz w:val="24"/>
      <w:szCs w:val="24"/>
    </w:rPr>
  </w:style>
  <w:style w:type="paragraph" w:customStyle="1" w:styleId="Footnote">
    <w:name w:val="Footnote"/>
    <w:basedOn w:val="FootnoteText"/>
    <w:qFormat/>
    <w:rsid w:val="00DA4133"/>
    <w:pPr>
      <w:spacing w:before="60"/>
      <w:ind w:left="187" w:hanging="187"/>
    </w:pPr>
    <w:rPr>
      <w:szCs w:val="20"/>
    </w:rPr>
  </w:style>
  <w:style w:type="paragraph" w:styleId="FootnoteText">
    <w:name w:val="footnote text"/>
    <w:basedOn w:val="Normal"/>
    <w:link w:val="FootnoteTextChar"/>
    <w:uiPriority w:val="99"/>
    <w:unhideWhenUsed/>
    <w:rsid w:val="00DA4133"/>
    <w:pPr>
      <w:spacing w:before="0"/>
    </w:pPr>
    <w:rPr>
      <w:sz w:val="20"/>
    </w:rPr>
  </w:style>
  <w:style w:type="character" w:customStyle="1" w:styleId="FootnoteTextChar">
    <w:name w:val="Footnote Text Char"/>
    <w:basedOn w:val="DefaultParagraphFont"/>
    <w:link w:val="FootnoteText"/>
    <w:uiPriority w:val="99"/>
    <w:rsid w:val="00DA4133"/>
    <w:rPr>
      <w:rFonts w:ascii="Times New Roman" w:hAnsi="Times New Roman"/>
    </w:rPr>
  </w:style>
  <w:style w:type="character" w:customStyle="1" w:styleId="Heading3Char">
    <w:name w:val="Heading 3 Char"/>
    <w:link w:val="Heading3"/>
    <w:uiPriority w:val="9"/>
    <w:rsid w:val="00DA4133"/>
    <w:rPr>
      <w:rFonts w:ascii="Cambria" w:hAnsi="Cambria"/>
      <w:b/>
      <w:bCs/>
      <w:sz w:val="26"/>
      <w:szCs w:val="26"/>
    </w:rPr>
  </w:style>
  <w:style w:type="paragraph" w:styleId="TOCHeading">
    <w:name w:val="TOC Heading"/>
    <w:basedOn w:val="Heading1"/>
    <w:next w:val="Normal"/>
    <w:uiPriority w:val="39"/>
    <w:unhideWhenUsed/>
    <w:qFormat/>
    <w:rsid w:val="009D3F7A"/>
    <w:pPr>
      <w:keepLines/>
      <w:pageBreakBefore w:val="0"/>
      <w:widowControl/>
      <w:autoSpaceDE/>
      <w:autoSpaceDN/>
      <w:adjustRightInd/>
      <w:spacing w:before="480" w:after="0" w:line="276" w:lineRule="auto"/>
      <w:outlineLvl w:val="9"/>
    </w:pPr>
    <w:rPr>
      <w:rFonts w:eastAsia="Times New Roman" w:cs="Times New Roman"/>
      <w:caps w:val="0"/>
      <w:szCs w:val="28"/>
    </w:rPr>
  </w:style>
  <w:style w:type="paragraph" w:styleId="TOC1">
    <w:name w:val="toc 1"/>
    <w:basedOn w:val="Normal"/>
    <w:next w:val="Normal"/>
    <w:autoRedefine/>
    <w:uiPriority w:val="39"/>
    <w:unhideWhenUsed/>
    <w:rsid w:val="00885219"/>
    <w:pPr>
      <w:tabs>
        <w:tab w:val="left" w:pos="270"/>
        <w:tab w:val="right" w:leader="dot" w:pos="9350"/>
      </w:tabs>
      <w:spacing w:after="100"/>
    </w:pPr>
  </w:style>
  <w:style w:type="paragraph" w:styleId="TOC3">
    <w:name w:val="toc 3"/>
    <w:basedOn w:val="Normal"/>
    <w:next w:val="Normal"/>
    <w:autoRedefine/>
    <w:uiPriority w:val="39"/>
    <w:unhideWhenUsed/>
    <w:rsid w:val="008C4C1E"/>
    <w:pPr>
      <w:tabs>
        <w:tab w:val="right" w:leader="dot" w:pos="9350"/>
      </w:tabs>
      <w:spacing w:after="100"/>
      <w:ind w:left="270"/>
    </w:pPr>
    <w:rPr>
      <w:smallCaps/>
      <w:noProof/>
    </w:rPr>
  </w:style>
  <w:style w:type="paragraph" w:styleId="TOC2">
    <w:name w:val="toc 2"/>
    <w:basedOn w:val="Normal"/>
    <w:next w:val="Normal"/>
    <w:autoRedefine/>
    <w:uiPriority w:val="39"/>
    <w:unhideWhenUsed/>
    <w:rsid w:val="00885219"/>
    <w:pPr>
      <w:tabs>
        <w:tab w:val="right" w:leader="dot" w:pos="9350"/>
      </w:tabs>
      <w:spacing w:after="100"/>
      <w:ind w:left="720"/>
    </w:pPr>
  </w:style>
  <w:style w:type="character" w:styleId="FootnoteReference">
    <w:name w:val="footnote reference"/>
    <w:uiPriority w:val="99"/>
    <w:semiHidden/>
    <w:unhideWhenUsed/>
    <w:rsid w:val="00DD7E7C"/>
    <w:rPr>
      <w:rFonts w:cs="Times New Roman"/>
      <w:vertAlign w:val="superscript"/>
    </w:rPr>
  </w:style>
  <w:style w:type="paragraph" w:customStyle="1" w:styleId="Default">
    <w:name w:val="Default"/>
    <w:rsid w:val="008C4C1E"/>
    <w:pPr>
      <w:widowControl w:val="0"/>
      <w:autoSpaceDE w:val="0"/>
      <w:autoSpaceDN w:val="0"/>
      <w:adjustRightInd w:val="0"/>
    </w:pPr>
    <w:rPr>
      <w:rFonts w:ascii="Tahoma" w:hAnsi="Tahoma" w:cs="Tahoma"/>
      <w:color w:val="000000"/>
      <w:sz w:val="24"/>
      <w:szCs w:val="24"/>
    </w:rPr>
  </w:style>
  <w:style w:type="paragraph" w:styleId="Header">
    <w:name w:val="header"/>
    <w:basedOn w:val="Normal"/>
    <w:link w:val="HeaderChar"/>
    <w:uiPriority w:val="99"/>
    <w:unhideWhenUsed/>
    <w:rsid w:val="001F7C62"/>
    <w:pPr>
      <w:tabs>
        <w:tab w:val="center" w:pos="4680"/>
        <w:tab w:val="right" w:pos="9360"/>
      </w:tabs>
      <w:spacing w:before="0"/>
    </w:pPr>
  </w:style>
  <w:style w:type="character" w:customStyle="1" w:styleId="HeaderChar">
    <w:name w:val="Header Char"/>
    <w:basedOn w:val="DefaultParagraphFont"/>
    <w:link w:val="Header"/>
    <w:uiPriority w:val="99"/>
    <w:rsid w:val="001F7C62"/>
    <w:rPr>
      <w:rFonts w:ascii="Times New Roman" w:hAnsi="Times New Roman"/>
      <w:sz w:val="24"/>
      <w:szCs w:val="24"/>
    </w:rPr>
  </w:style>
  <w:style w:type="paragraph" w:styleId="Footer">
    <w:name w:val="footer"/>
    <w:basedOn w:val="Normal"/>
    <w:link w:val="FooterChar"/>
    <w:uiPriority w:val="99"/>
    <w:unhideWhenUsed/>
    <w:rsid w:val="001F7C62"/>
    <w:pPr>
      <w:tabs>
        <w:tab w:val="center" w:pos="4680"/>
        <w:tab w:val="right" w:pos="9360"/>
      </w:tabs>
      <w:spacing w:before="0"/>
    </w:pPr>
  </w:style>
  <w:style w:type="character" w:customStyle="1" w:styleId="FooterChar">
    <w:name w:val="Footer Char"/>
    <w:basedOn w:val="DefaultParagraphFont"/>
    <w:link w:val="Footer"/>
    <w:uiPriority w:val="99"/>
    <w:rsid w:val="001F7C62"/>
    <w:rPr>
      <w:rFonts w:ascii="Times New Roman" w:hAnsi="Times New Roman"/>
      <w:sz w:val="24"/>
      <w:szCs w:val="24"/>
    </w:rPr>
  </w:style>
  <w:style w:type="character" w:customStyle="1" w:styleId="Heading4Char">
    <w:name w:val="Heading 4 Char"/>
    <w:basedOn w:val="DefaultParagraphFont"/>
    <w:link w:val="Heading4"/>
    <w:uiPriority w:val="9"/>
    <w:rsid w:val="001A374E"/>
    <w:rPr>
      <w:rFonts w:ascii="Times New Roman" w:hAnsi="Times New Roman"/>
      <w:b/>
      <w:sz w:val="24"/>
      <w:szCs w:val="24"/>
    </w:rPr>
  </w:style>
  <w:style w:type="paragraph" w:styleId="TOC4">
    <w:name w:val="toc 4"/>
    <w:basedOn w:val="Normal"/>
    <w:next w:val="Normal"/>
    <w:autoRedefine/>
    <w:uiPriority w:val="39"/>
    <w:unhideWhenUsed/>
    <w:rsid w:val="00CE2CE0"/>
    <w:pPr>
      <w:tabs>
        <w:tab w:val="right" w:leader="dot" w:pos="9350"/>
      </w:tabs>
      <w:spacing w:after="100"/>
      <w:ind w:left="10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hdo.maine.gov/quality_data.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hdo.maine.gov/quality_data.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sos/cec/rules/90/90/590/590c270.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ine.gov/sos/cec/rules/90/90/590/590c270.doc" TargetMode="External"/><Relationship Id="rId4" Type="http://schemas.openxmlformats.org/officeDocument/2006/relationships/settings" Target="settings.xml"/><Relationship Id="rId9" Type="http://schemas.openxmlformats.org/officeDocument/2006/relationships/image" Target="http://mhdo.maine.gov/imhdo/assets/img/NewLogo_2.jpg" TargetMode="External"/><Relationship Id="rId14" Type="http://schemas.openxmlformats.org/officeDocument/2006/relationships/hyperlink" Target="https://mhdo.maine.gov/quality_data.htm"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AE2CD-2DF8-4D31-950D-3C1BE701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2813</Words>
  <Characters>16038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Southern Maine</Company>
  <LinksUpToDate>false</LinksUpToDate>
  <CharactersWithSpaces>18814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Bratesman</dc:creator>
  <cp:keywords/>
  <dc:description/>
  <cp:lastModifiedBy>Stuart Bratesman</cp:lastModifiedBy>
  <cp:revision>3</cp:revision>
  <cp:lastPrinted>2013-11-25T19:55:00Z</cp:lastPrinted>
  <dcterms:created xsi:type="dcterms:W3CDTF">2013-11-26T17:49:00Z</dcterms:created>
  <dcterms:modified xsi:type="dcterms:W3CDTF">2013-11-26T17:54:00Z</dcterms:modified>
</cp:coreProperties>
</file>