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E91E0" w14:textId="77777777" w:rsidR="00B96963" w:rsidRDefault="005320FF">
      <w:pPr>
        <w:rPr>
          <w:sz w:val="28"/>
          <w:szCs w:val="28"/>
        </w:rPr>
      </w:pPr>
      <w:r>
        <w:rPr>
          <w:sz w:val="28"/>
          <w:szCs w:val="28"/>
        </w:rPr>
        <w:t>Data User Group</w:t>
      </w:r>
    </w:p>
    <w:p w14:paraId="5E0EE76F" w14:textId="1D8218CA" w:rsidR="005320FF" w:rsidRDefault="005320FF">
      <w:pPr>
        <w:rPr>
          <w:sz w:val="28"/>
          <w:szCs w:val="28"/>
        </w:rPr>
      </w:pPr>
      <w:r>
        <w:rPr>
          <w:sz w:val="28"/>
          <w:szCs w:val="28"/>
        </w:rPr>
        <w:t>Subcommittee/Working Group</w:t>
      </w:r>
      <w:r w:rsidR="00786AC1">
        <w:rPr>
          <w:sz w:val="28"/>
          <w:szCs w:val="28"/>
        </w:rPr>
        <w:t>-Charge</w:t>
      </w:r>
      <w:r w:rsidR="00B80B0D">
        <w:rPr>
          <w:sz w:val="28"/>
          <w:szCs w:val="28"/>
        </w:rPr>
        <w:t xml:space="preserve"> and Recommendations</w:t>
      </w:r>
    </w:p>
    <w:p w14:paraId="7CD17BD7" w14:textId="5245799B" w:rsidR="005320FF" w:rsidRDefault="00B80B0D">
      <w:pPr>
        <w:rPr>
          <w:sz w:val="28"/>
          <w:szCs w:val="28"/>
        </w:rPr>
      </w:pPr>
      <w:r>
        <w:rPr>
          <w:sz w:val="28"/>
          <w:szCs w:val="28"/>
        </w:rPr>
        <w:t>May</w:t>
      </w:r>
      <w:r w:rsidR="005320FF">
        <w:rPr>
          <w:sz w:val="28"/>
          <w:szCs w:val="28"/>
        </w:rPr>
        <w:t xml:space="preserve"> 2014</w:t>
      </w:r>
    </w:p>
    <w:p w14:paraId="0B88E43D" w14:textId="77777777" w:rsidR="005320FF" w:rsidRDefault="005320FF">
      <w:pPr>
        <w:rPr>
          <w:sz w:val="28"/>
          <w:szCs w:val="28"/>
        </w:rPr>
      </w:pPr>
    </w:p>
    <w:p w14:paraId="1DA8B8D3" w14:textId="5416B302" w:rsidR="005320FF" w:rsidRDefault="005320FF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63149E">
        <w:rPr>
          <w:sz w:val="28"/>
          <w:szCs w:val="28"/>
        </w:rPr>
        <w:t>working group</w:t>
      </w:r>
      <w:r>
        <w:rPr>
          <w:sz w:val="28"/>
          <w:szCs w:val="28"/>
        </w:rPr>
        <w:t xml:space="preserve"> will address the issues identified in the MHDO Data User Feedback Summary Table as reference numbers 11, 12 and 21.</w:t>
      </w:r>
    </w:p>
    <w:p w14:paraId="6CC7471F" w14:textId="77777777" w:rsidR="005320FF" w:rsidRPr="0033577E" w:rsidRDefault="005320FF" w:rsidP="0033577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3577E">
        <w:rPr>
          <w:sz w:val="28"/>
          <w:szCs w:val="28"/>
        </w:rPr>
        <w:t>Reference # 11- Define records clearly as Inpatient Facility, Outpatient Facility, and Professional.</w:t>
      </w:r>
    </w:p>
    <w:p w14:paraId="3400739D" w14:textId="2E15A7A1" w:rsidR="005320FF" w:rsidRPr="0033577E" w:rsidRDefault="005320FF" w:rsidP="0033577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3577E">
        <w:rPr>
          <w:sz w:val="28"/>
          <w:szCs w:val="28"/>
        </w:rPr>
        <w:t>Reference #12- Define “stays” where a patient is in one given facility for several days.  (Tran</w:t>
      </w:r>
      <w:r w:rsidR="00AE0F37">
        <w:rPr>
          <w:sz w:val="28"/>
          <w:szCs w:val="28"/>
        </w:rPr>
        <w:t>sfer case is a different stay.</w:t>
      </w:r>
      <w:r w:rsidRPr="0033577E">
        <w:rPr>
          <w:sz w:val="28"/>
          <w:szCs w:val="28"/>
        </w:rPr>
        <w:t>)</w:t>
      </w:r>
    </w:p>
    <w:p w14:paraId="1060118C" w14:textId="77777777" w:rsidR="005320FF" w:rsidRPr="0033577E" w:rsidRDefault="005320FF" w:rsidP="0033577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3577E">
        <w:rPr>
          <w:sz w:val="28"/>
          <w:szCs w:val="28"/>
        </w:rPr>
        <w:t>Reference # 21- Have DRG and version information on all inpatient records</w:t>
      </w:r>
    </w:p>
    <w:p w14:paraId="508DF496" w14:textId="77777777" w:rsidR="005320FF" w:rsidRDefault="005320FF">
      <w:pPr>
        <w:rPr>
          <w:sz w:val="28"/>
          <w:szCs w:val="28"/>
        </w:rPr>
      </w:pPr>
    </w:p>
    <w:p w14:paraId="70ECF854" w14:textId="77777777" w:rsidR="0022039F" w:rsidRDefault="0033577E">
      <w:pPr>
        <w:rPr>
          <w:sz w:val="28"/>
          <w:szCs w:val="28"/>
        </w:rPr>
      </w:pPr>
      <w:r>
        <w:rPr>
          <w:b/>
          <w:sz w:val="28"/>
          <w:szCs w:val="28"/>
        </w:rPr>
        <w:t>Background:</w:t>
      </w:r>
    </w:p>
    <w:p w14:paraId="4DFFA68D" w14:textId="77777777" w:rsidR="0022039F" w:rsidRPr="0033577E" w:rsidRDefault="005320FF" w:rsidP="0033577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B6D1F">
        <w:rPr>
          <w:b/>
          <w:sz w:val="28"/>
          <w:szCs w:val="28"/>
          <w:u w:val="single"/>
        </w:rPr>
        <w:t>Reference # 11</w:t>
      </w:r>
      <w:r w:rsidRPr="0033577E">
        <w:rPr>
          <w:sz w:val="28"/>
          <w:szCs w:val="28"/>
        </w:rPr>
        <w:t>-</w:t>
      </w:r>
      <w:r w:rsidR="0022039F" w:rsidRPr="0033577E">
        <w:rPr>
          <w:sz w:val="28"/>
          <w:szCs w:val="28"/>
        </w:rPr>
        <w:t xml:space="preserve">There are two fields specific to this issue that health plans are required to provide (validation threshold is set at 100%) </w:t>
      </w:r>
      <w:r w:rsidR="0033577E" w:rsidRPr="0033577E">
        <w:rPr>
          <w:sz w:val="28"/>
          <w:szCs w:val="28"/>
        </w:rPr>
        <w:t>and that we in turn release</w:t>
      </w:r>
      <w:r w:rsidR="0022039F" w:rsidRPr="0033577E">
        <w:rPr>
          <w:sz w:val="28"/>
          <w:szCs w:val="28"/>
        </w:rPr>
        <w:t>:</w:t>
      </w:r>
    </w:p>
    <w:p w14:paraId="63A548C3" w14:textId="77777777" w:rsidR="0022039F" w:rsidRDefault="0022039F" w:rsidP="0022039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5"/>
        <w:gridCol w:w="2846"/>
        <w:gridCol w:w="2929"/>
      </w:tblGrid>
      <w:tr w:rsidR="0022039F" w14:paraId="0A27074A" w14:textId="77777777" w:rsidTr="0022039F">
        <w:tc>
          <w:tcPr>
            <w:tcW w:w="3192" w:type="dxa"/>
          </w:tcPr>
          <w:p w14:paraId="56E53D00" w14:textId="77777777" w:rsidR="0022039F" w:rsidRDefault="0022039F" w:rsidP="0022039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Element</w:t>
            </w:r>
          </w:p>
        </w:tc>
        <w:tc>
          <w:tcPr>
            <w:tcW w:w="3192" w:type="dxa"/>
          </w:tcPr>
          <w:p w14:paraId="336212E0" w14:textId="77777777" w:rsidR="0022039F" w:rsidRDefault="0022039F" w:rsidP="0022039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Column Name</w:t>
            </w:r>
          </w:p>
        </w:tc>
        <w:tc>
          <w:tcPr>
            <w:tcW w:w="3192" w:type="dxa"/>
          </w:tcPr>
          <w:p w14:paraId="547AE81A" w14:textId="77777777" w:rsidR="0022039F" w:rsidRDefault="0022039F" w:rsidP="0022039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</w:tr>
      <w:tr w:rsidR="0022039F" w14:paraId="03BFA04D" w14:textId="77777777" w:rsidTr="0022039F">
        <w:tc>
          <w:tcPr>
            <w:tcW w:w="3192" w:type="dxa"/>
          </w:tcPr>
          <w:p w14:paraId="164F4D32" w14:textId="77777777" w:rsidR="0022039F" w:rsidRDefault="0022039F" w:rsidP="0022039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MC036</w:t>
            </w:r>
          </w:p>
        </w:tc>
        <w:tc>
          <w:tcPr>
            <w:tcW w:w="3192" w:type="dxa"/>
          </w:tcPr>
          <w:p w14:paraId="7B512A30" w14:textId="77777777" w:rsidR="0022039F" w:rsidRDefault="0022039F" w:rsidP="0022039F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Billtype</w:t>
            </w:r>
            <w:proofErr w:type="spellEnd"/>
          </w:p>
        </w:tc>
        <w:tc>
          <w:tcPr>
            <w:tcW w:w="3192" w:type="dxa"/>
          </w:tcPr>
          <w:p w14:paraId="73CC6806" w14:textId="77777777" w:rsidR="0022039F" w:rsidRDefault="0022039F" w:rsidP="0022039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Required on institutional claims </w:t>
            </w:r>
          </w:p>
        </w:tc>
      </w:tr>
      <w:tr w:rsidR="0022039F" w14:paraId="2169418A" w14:textId="77777777" w:rsidTr="0022039F">
        <w:tc>
          <w:tcPr>
            <w:tcW w:w="3192" w:type="dxa"/>
          </w:tcPr>
          <w:p w14:paraId="69754FA9" w14:textId="77777777" w:rsidR="0022039F" w:rsidRDefault="0022039F" w:rsidP="0022039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MC037</w:t>
            </w:r>
          </w:p>
        </w:tc>
        <w:tc>
          <w:tcPr>
            <w:tcW w:w="3192" w:type="dxa"/>
          </w:tcPr>
          <w:p w14:paraId="547DEE3F" w14:textId="77777777" w:rsidR="0022039F" w:rsidRDefault="0022039F" w:rsidP="0022039F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Factype</w:t>
            </w:r>
            <w:proofErr w:type="spellEnd"/>
          </w:p>
        </w:tc>
        <w:tc>
          <w:tcPr>
            <w:tcW w:w="3192" w:type="dxa"/>
          </w:tcPr>
          <w:p w14:paraId="7E29B748" w14:textId="77777777" w:rsidR="0022039F" w:rsidRDefault="0022039F" w:rsidP="0022039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Required on professional claims</w:t>
            </w:r>
          </w:p>
        </w:tc>
      </w:tr>
    </w:tbl>
    <w:p w14:paraId="5E0412B0" w14:textId="77777777" w:rsidR="0022039F" w:rsidRDefault="0022039F" w:rsidP="0022039F">
      <w:pPr>
        <w:pStyle w:val="ListParagraph"/>
        <w:rPr>
          <w:sz w:val="28"/>
          <w:szCs w:val="28"/>
        </w:rPr>
      </w:pPr>
    </w:p>
    <w:p w14:paraId="5D4DD5AF" w14:textId="46D8FC4B" w:rsidR="0022039F" w:rsidRPr="0030539B" w:rsidRDefault="0033577E" w:rsidP="0022039F">
      <w:pPr>
        <w:pStyle w:val="ListParagraph"/>
        <w:rPr>
          <w:b/>
          <w:sz w:val="28"/>
          <w:szCs w:val="28"/>
        </w:rPr>
      </w:pPr>
      <w:r>
        <w:rPr>
          <w:sz w:val="28"/>
          <w:szCs w:val="28"/>
        </w:rPr>
        <w:t xml:space="preserve">In reviewing a recent internal report that provides the threshold and the actual % it appears that 99.99% of the time the health plans are providing </w:t>
      </w:r>
      <w:proofErr w:type="gramStart"/>
      <w:r>
        <w:rPr>
          <w:sz w:val="28"/>
          <w:szCs w:val="28"/>
        </w:rPr>
        <w:t>this</w:t>
      </w:r>
      <w:proofErr w:type="gramEnd"/>
      <w:r>
        <w:rPr>
          <w:sz w:val="28"/>
          <w:szCs w:val="28"/>
        </w:rPr>
        <w:t xml:space="preserve"> information.  We are in the process of running a report for CY </w:t>
      </w:r>
      <w:r w:rsidR="00B05DC7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and 2013 to verify that one of the other of the two fields was populated.  </w:t>
      </w:r>
      <w:r w:rsidR="0030539B" w:rsidRPr="0030539B">
        <w:rPr>
          <w:b/>
          <w:sz w:val="28"/>
          <w:szCs w:val="28"/>
        </w:rPr>
        <w:t>See information below:</w:t>
      </w:r>
    </w:p>
    <w:p w14:paraId="6D0A816D" w14:textId="77777777" w:rsidR="0030539B" w:rsidRDefault="0030539B" w:rsidP="0033577E">
      <w:pPr>
        <w:rPr>
          <w:b/>
          <w:sz w:val="28"/>
          <w:szCs w:val="28"/>
        </w:rPr>
      </w:pPr>
    </w:p>
    <w:p w14:paraId="4601D79D" w14:textId="6FD84D9A" w:rsidR="0030539B" w:rsidRPr="0030539B" w:rsidRDefault="0030539B" w:rsidP="0030539B">
      <w:pPr>
        <w:rPr>
          <w:b/>
          <w:bCs/>
          <w:sz w:val="28"/>
          <w:szCs w:val="28"/>
        </w:rPr>
      </w:pPr>
      <w:r w:rsidRPr="0030539B">
        <w:rPr>
          <w:b/>
          <w:bCs/>
          <w:sz w:val="28"/>
          <w:szCs w:val="28"/>
        </w:rPr>
        <w:lastRenderedPageBreak/>
        <w:t>Population of MC036 or MC037, CY 2012 &amp; 2013</w:t>
      </w:r>
    </w:p>
    <w:tbl>
      <w:tblPr>
        <w:tblW w:w="6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4346"/>
      </w:tblGrid>
      <w:tr w:rsidR="0030539B" w:rsidRPr="0030539B" w14:paraId="722FC266" w14:textId="77777777" w:rsidTr="0030539B">
        <w:trPr>
          <w:trHeight w:val="300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971D5" w14:textId="77777777" w:rsidR="0030539B" w:rsidRPr="0030539B" w:rsidRDefault="0030539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0539B">
              <w:rPr>
                <w:b/>
                <w:bCs/>
                <w:color w:val="000000"/>
                <w:sz w:val="28"/>
                <w:szCs w:val="28"/>
              </w:rPr>
              <w:t>Payer Type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0E361" w14:textId="77777777" w:rsidR="0030539B" w:rsidRPr="0030539B" w:rsidRDefault="003053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0539B">
              <w:rPr>
                <w:b/>
                <w:bCs/>
                <w:sz w:val="28"/>
                <w:szCs w:val="28"/>
              </w:rPr>
              <w:t>Percent of Records with Valid and Correct Population of MC036 and MC037</w:t>
            </w:r>
          </w:p>
        </w:tc>
      </w:tr>
      <w:tr w:rsidR="0030539B" w:rsidRPr="0030539B" w14:paraId="0FC51DEB" w14:textId="77777777" w:rsidTr="0030539B">
        <w:trPr>
          <w:trHeight w:val="300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1ABCE" w14:textId="77777777" w:rsidR="0030539B" w:rsidRPr="0030539B" w:rsidRDefault="0030539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0539B">
              <w:rPr>
                <w:color w:val="000000"/>
                <w:sz w:val="28"/>
                <w:szCs w:val="28"/>
              </w:rPr>
              <w:t>Total Commercial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D521" w14:textId="77777777" w:rsidR="0030539B" w:rsidRPr="0030539B" w:rsidRDefault="0030539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0539B">
              <w:rPr>
                <w:color w:val="000000"/>
                <w:sz w:val="28"/>
                <w:szCs w:val="28"/>
              </w:rPr>
              <w:t>99.4%</w:t>
            </w:r>
          </w:p>
        </w:tc>
      </w:tr>
      <w:tr w:rsidR="0030539B" w:rsidRPr="0030539B" w14:paraId="02766365" w14:textId="77777777" w:rsidTr="0030539B">
        <w:trPr>
          <w:trHeight w:val="300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98C6D" w14:textId="77777777" w:rsidR="0030539B" w:rsidRPr="0030539B" w:rsidRDefault="0030539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30539B">
              <w:rPr>
                <w:color w:val="000000"/>
                <w:sz w:val="28"/>
                <w:szCs w:val="28"/>
              </w:rPr>
              <w:t>MaineCare</w:t>
            </w:r>
            <w:proofErr w:type="spellEnd"/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CF316" w14:textId="77777777" w:rsidR="0030539B" w:rsidRPr="0030539B" w:rsidRDefault="0030539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0539B">
              <w:rPr>
                <w:color w:val="000000"/>
                <w:sz w:val="28"/>
                <w:szCs w:val="28"/>
              </w:rPr>
              <w:t>96.2%</w:t>
            </w:r>
          </w:p>
        </w:tc>
      </w:tr>
      <w:tr w:rsidR="0030539B" w:rsidRPr="0030539B" w14:paraId="77836136" w14:textId="77777777" w:rsidTr="0030539B">
        <w:trPr>
          <w:trHeight w:val="300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FC959" w14:textId="77777777" w:rsidR="0030539B" w:rsidRPr="0030539B" w:rsidRDefault="0030539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0539B">
              <w:rPr>
                <w:color w:val="000000"/>
                <w:sz w:val="28"/>
                <w:szCs w:val="28"/>
              </w:rPr>
              <w:t>Medicare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C22E4" w14:textId="77777777" w:rsidR="0030539B" w:rsidRPr="0030539B" w:rsidRDefault="0030539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0539B">
              <w:rPr>
                <w:color w:val="000000"/>
                <w:sz w:val="28"/>
                <w:szCs w:val="28"/>
              </w:rPr>
              <w:t>100.0%</w:t>
            </w:r>
          </w:p>
        </w:tc>
      </w:tr>
    </w:tbl>
    <w:p w14:paraId="06355366" w14:textId="77777777" w:rsidR="0030539B" w:rsidRPr="0030539B" w:rsidRDefault="0030539B" w:rsidP="0030539B">
      <w:pPr>
        <w:rPr>
          <w:rFonts w:ascii="Calibri" w:hAnsi="Calibri" w:cs="Calibri"/>
          <w:sz w:val="28"/>
          <w:szCs w:val="28"/>
        </w:rPr>
      </w:pPr>
    </w:p>
    <w:p w14:paraId="0E0B7C0F" w14:textId="77777777" w:rsidR="0033577E" w:rsidRPr="00AD48B8" w:rsidRDefault="0033577E" w:rsidP="0033577E">
      <w:pPr>
        <w:rPr>
          <w:b/>
          <w:sz w:val="28"/>
          <w:szCs w:val="28"/>
        </w:rPr>
      </w:pPr>
      <w:r w:rsidRPr="00AD48B8">
        <w:rPr>
          <w:b/>
          <w:sz w:val="28"/>
          <w:szCs w:val="28"/>
        </w:rPr>
        <w:t>Deliverable:</w:t>
      </w:r>
    </w:p>
    <w:p w14:paraId="69A30AFC" w14:textId="77777777" w:rsidR="005320FF" w:rsidRDefault="0033577E" w:rsidP="0033577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3577E">
        <w:rPr>
          <w:sz w:val="28"/>
          <w:szCs w:val="28"/>
        </w:rPr>
        <w:t xml:space="preserve">Articulate why the data elements MC036 and MC037 are not sufficiently defining the records as inpatient, outpatient and professional.  </w:t>
      </w:r>
    </w:p>
    <w:p w14:paraId="2EE966F3" w14:textId="77777777" w:rsidR="0033577E" w:rsidRPr="0033577E" w:rsidRDefault="00F076FE" w:rsidP="0033577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Develop </w:t>
      </w:r>
      <w:r w:rsidR="0033577E">
        <w:rPr>
          <w:sz w:val="28"/>
          <w:szCs w:val="28"/>
        </w:rPr>
        <w:t xml:space="preserve">recommendations for </w:t>
      </w:r>
      <w:r w:rsidR="00B21E1E">
        <w:rPr>
          <w:sz w:val="28"/>
          <w:szCs w:val="28"/>
        </w:rPr>
        <w:t>meeting</w:t>
      </w:r>
      <w:r>
        <w:rPr>
          <w:sz w:val="28"/>
          <w:szCs w:val="28"/>
        </w:rPr>
        <w:t xml:space="preserve"> the</w:t>
      </w:r>
      <w:r w:rsidR="00B21E1E">
        <w:rPr>
          <w:sz w:val="28"/>
          <w:szCs w:val="28"/>
        </w:rPr>
        <w:t xml:space="preserve"> objective.</w:t>
      </w:r>
    </w:p>
    <w:p w14:paraId="4B1F465A" w14:textId="7EA7F719" w:rsidR="0033577E" w:rsidRPr="00975128" w:rsidRDefault="00975128">
      <w:pPr>
        <w:rPr>
          <w:b/>
          <w:sz w:val="28"/>
          <w:szCs w:val="28"/>
        </w:rPr>
      </w:pPr>
      <w:r>
        <w:rPr>
          <w:b/>
          <w:sz w:val="28"/>
          <w:szCs w:val="28"/>
        </w:rPr>
        <w:t>Summary</w:t>
      </w:r>
      <w:r w:rsidRPr="00975128">
        <w:rPr>
          <w:b/>
          <w:sz w:val="28"/>
          <w:szCs w:val="28"/>
        </w:rPr>
        <w:t>:</w:t>
      </w:r>
    </w:p>
    <w:p w14:paraId="23560701" w14:textId="583EBFE2" w:rsidR="00975128" w:rsidRDefault="00975128" w:rsidP="00975128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There is no issue defining professional (MC037) and facility claims (MC036).</w:t>
      </w:r>
    </w:p>
    <w:p w14:paraId="64067F95" w14:textId="4ABF8F80" w:rsidR="00D91F6D" w:rsidRDefault="00EF2ADC" w:rsidP="003C4A13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91F6D">
        <w:rPr>
          <w:sz w:val="28"/>
          <w:szCs w:val="28"/>
        </w:rPr>
        <w:t>Finding</w:t>
      </w:r>
      <w:r w:rsidR="00975128" w:rsidRPr="00D91F6D">
        <w:rPr>
          <w:sz w:val="28"/>
          <w:szCs w:val="28"/>
        </w:rPr>
        <w:t xml:space="preserve"> a common definition</w:t>
      </w:r>
      <w:r w:rsidR="00D91F6D">
        <w:rPr>
          <w:sz w:val="28"/>
          <w:szCs w:val="28"/>
        </w:rPr>
        <w:t xml:space="preserve"> or logic</w:t>
      </w:r>
      <w:r w:rsidR="00975128" w:rsidRPr="00D91F6D">
        <w:rPr>
          <w:sz w:val="28"/>
          <w:szCs w:val="28"/>
        </w:rPr>
        <w:t xml:space="preserve"> for inpatient and outpatient records </w:t>
      </w:r>
      <w:r w:rsidR="00966C70" w:rsidRPr="00D91F6D">
        <w:rPr>
          <w:sz w:val="28"/>
          <w:szCs w:val="28"/>
        </w:rPr>
        <w:t>to be used by all data users is not</w:t>
      </w:r>
      <w:r w:rsidR="00975128" w:rsidRPr="00D91F6D">
        <w:rPr>
          <w:sz w:val="28"/>
          <w:szCs w:val="28"/>
        </w:rPr>
        <w:t xml:space="preserve"> feasible. </w:t>
      </w:r>
      <w:r w:rsidR="00D91F6D">
        <w:rPr>
          <w:sz w:val="28"/>
          <w:szCs w:val="28"/>
        </w:rPr>
        <w:t>Because of variation in reporting measures users may always need do their own work.</w:t>
      </w:r>
    </w:p>
    <w:p w14:paraId="4D54BFC2" w14:textId="685973E2" w:rsidR="00D91F6D" w:rsidRPr="00D91F6D" w:rsidRDefault="00D91F6D" w:rsidP="003C4A13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91F6D">
        <w:rPr>
          <w:sz w:val="28"/>
          <w:szCs w:val="28"/>
        </w:rPr>
        <w:t xml:space="preserve">MHDO and HSRI currently identify inpatient records as those with 11, 12, 18, 41, 65, </w:t>
      </w:r>
      <w:proofErr w:type="gramStart"/>
      <w:r w:rsidRPr="00D91F6D">
        <w:rPr>
          <w:sz w:val="28"/>
          <w:szCs w:val="28"/>
        </w:rPr>
        <w:t>66</w:t>
      </w:r>
      <w:proofErr w:type="gramEnd"/>
      <w:r w:rsidRPr="00D91F6D">
        <w:rPr>
          <w:sz w:val="28"/>
          <w:szCs w:val="28"/>
        </w:rPr>
        <w:t xml:space="preserve">, 86 in MC036. Others use bill type alone or in combination with room and board revenue codes. </w:t>
      </w:r>
    </w:p>
    <w:p w14:paraId="28BA3988" w14:textId="20086F71" w:rsidR="00966C70" w:rsidRPr="00966C70" w:rsidRDefault="00966C70" w:rsidP="00966C70">
      <w:pPr>
        <w:rPr>
          <w:b/>
          <w:sz w:val="28"/>
          <w:szCs w:val="28"/>
        </w:rPr>
      </w:pPr>
      <w:r w:rsidRPr="00966C70">
        <w:rPr>
          <w:b/>
          <w:sz w:val="28"/>
          <w:szCs w:val="28"/>
        </w:rPr>
        <w:t>Recommendation:</w:t>
      </w:r>
    </w:p>
    <w:p w14:paraId="429A49D5" w14:textId="1CCA741D" w:rsidR="00975128" w:rsidRDefault="00D91F6D" w:rsidP="00975128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Refer users to commonly used definitions and logic</w:t>
      </w:r>
      <w:r w:rsidR="00975128">
        <w:rPr>
          <w:sz w:val="28"/>
          <w:szCs w:val="28"/>
        </w:rPr>
        <w:t xml:space="preserve"> in an FAQ or </w:t>
      </w:r>
      <w:r w:rsidR="00EF2ADC">
        <w:rPr>
          <w:sz w:val="28"/>
          <w:szCs w:val="28"/>
        </w:rPr>
        <w:t xml:space="preserve">in the </w:t>
      </w:r>
      <w:r w:rsidR="00975128">
        <w:rPr>
          <w:sz w:val="28"/>
          <w:szCs w:val="28"/>
        </w:rPr>
        <w:t xml:space="preserve">metadata.  </w:t>
      </w:r>
    </w:p>
    <w:p w14:paraId="6B2B0F35" w14:textId="3B8FE2E0" w:rsidR="00975128" w:rsidRDefault="00975128" w:rsidP="00975128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HealthPartners Total Cost of Care (TCOC) and Total Care Relative Resources Values (TCRRVs). Defines outpatient and inpatient (acute and non</w:t>
      </w:r>
      <w:r w:rsidR="00EF2ADC">
        <w:rPr>
          <w:sz w:val="28"/>
          <w:szCs w:val="28"/>
        </w:rPr>
        <w:t>-</w:t>
      </w:r>
      <w:r>
        <w:rPr>
          <w:sz w:val="28"/>
          <w:szCs w:val="28"/>
        </w:rPr>
        <w:t xml:space="preserve">acute). See the Data Preparation section (as of 2/11/2014 </w:t>
      </w:r>
      <w:r>
        <w:rPr>
          <w:sz w:val="28"/>
          <w:szCs w:val="28"/>
        </w:rPr>
        <w:lastRenderedPageBreak/>
        <w:t xml:space="preserve">version on page 5) </w:t>
      </w:r>
      <w:hyperlink r:id="rId8" w:history="1">
        <w:r w:rsidRPr="006A1A02">
          <w:rPr>
            <w:rStyle w:val="Hyperlink"/>
            <w:sz w:val="28"/>
            <w:szCs w:val="28"/>
          </w:rPr>
          <w:t>https://www.healthpartners.com/ucm/groups/public/@hp/@public/documents/documents/dev_057642.pdf</w:t>
        </w:r>
      </w:hyperlink>
    </w:p>
    <w:p w14:paraId="70FE31FC" w14:textId="19DD3A5F" w:rsidR="00975128" w:rsidRPr="001B3EA1" w:rsidRDefault="00975128" w:rsidP="00975128">
      <w:pPr>
        <w:pStyle w:val="ListParagraph"/>
        <w:numPr>
          <w:ilvl w:val="1"/>
          <w:numId w:val="10"/>
        </w:numPr>
        <w:rPr>
          <w:rStyle w:val="Hyperlink"/>
          <w:color w:val="auto"/>
          <w:sz w:val="28"/>
          <w:szCs w:val="28"/>
          <w:u w:val="none"/>
        </w:rPr>
      </w:pPr>
      <w:r>
        <w:rPr>
          <w:sz w:val="28"/>
          <w:szCs w:val="28"/>
        </w:rPr>
        <w:t>HEDIS Technical Specifications (by purchase only)</w:t>
      </w:r>
      <w:r w:rsidR="00EF2ADC">
        <w:rPr>
          <w:sz w:val="28"/>
          <w:szCs w:val="28"/>
        </w:rPr>
        <w:t>. Defines outpatient and inpatient in slightly different ways for different measures.</w:t>
      </w:r>
      <w:r>
        <w:rPr>
          <w:sz w:val="28"/>
          <w:szCs w:val="28"/>
        </w:rPr>
        <w:t xml:space="preserve"> </w:t>
      </w:r>
      <w:hyperlink r:id="rId9" w:anchor="Vol_2" w:history="1">
        <w:r w:rsidRPr="00975128">
          <w:rPr>
            <w:rStyle w:val="Hyperlink"/>
            <w:sz w:val="28"/>
            <w:szCs w:val="28"/>
          </w:rPr>
          <w:t>http://www.ncqa.org/PublicationsProducts/HEDIS.aspx#Vol_2</w:t>
        </w:r>
      </w:hyperlink>
    </w:p>
    <w:p w14:paraId="67D07D04" w14:textId="1BAF5A67" w:rsidR="001B3EA1" w:rsidRPr="00C75611" w:rsidRDefault="00C75611" w:rsidP="00C75611">
      <w:pPr>
        <w:pStyle w:val="ListParagraph"/>
        <w:numPr>
          <w:ilvl w:val="1"/>
          <w:numId w:val="10"/>
        </w:numPr>
        <w:rPr>
          <w:sz w:val="28"/>
          <w:szCs w:val="28"/>
        </w:rPr>
      </w:pPr>
      <w:r w:rsidRPr="00C75611">
        <w:rPr>
          <w:sz w:val="28"/>
          <w:szCs w:val="28"/>
        </w:rPr>
        <w:t>UB-04 Data Specifications Manual 2014, Version 8.00 July 2013, pp. 17-18</w:t>
      </w:r>
      <w:r>
        <w:rPr>
          <w:sz w:val="28"/>
          <w:szCs w:val="28"/>
        </w:rPr>
        <w:t xml:space="preserve"> Type of Bill codes</w:t>
      </w:r>
    </w:p>
    <w:p w14:paraId="5714FE64" w14:textId="77777777" w:rsidR="00EF2ADC" w:rsidRPr="00966C70" w:rsidRDefault="00EF2ADC" w:rsidP="00EF2ADC">
      <w:pPr>
        <w:pStyle w:val="ListParagraph"/>
        <w:ind w:left="1440"/>
        <w:rPr>
          <w:rStyle w:val="Hyperlink"/>
          <w:color w:val="auto"/>
          <w:sz w:val="28"/>
          <w:szCs w:val="28"/>
          <w:u w:val="none"/>
        </w:rPr>
      </w:pPr>
    </w:p>
    <w:p w14:paraId="09DACEE1" w14:textId="77777777" w:rsidR="005320FF" w:rsidRPr="006B6D1F" w:rsidRDefault="00AD48B8" w:rsidP="00AD48B8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6B6D1F">
        <w:rPr>
          <w:b/>
          <w:sz w:val="28"/>
          <w:szCs w:val="28"/>
          <w:u w:val="single"/>
        </w:rPr>
        <w:t>Reference #12-</w:t>
      </w:r>
    </w:p>
    <w:p w14:paraId="2A3F3B99" w14:textId="77777777" w:rsidR="00AD48B8" w:rsidRDefault="00AD48B8" w:rsidP="00AD48B8">
      <w:pPr>
        <w:rPr>
          <w:b/>
          <w:sz w:val="28"/>
          <w:szCs w:val="28"/>
        </w:rPr>
      </w:pPr>
      <w:r w:rsidRPr="00AD48B8">
        <w:rPr>
          <w:b/>
          <w:sz w:val="28"/>
          <w:szCs w:val="28"/>
        </w:rPr>
        <w:t xml:space="preserve">Deliverable: </w:t>
      </w:r>
    </w:p>
    <w:p w14:paraId="56DE165A" w14:textId="75D7F0D1" w:rsidR="00B21E1E" w:rsidRDefault="00AD48B8" w:rsidP="005C1ED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D48B8">
        <w:rPr>
          <w:sz w:val="28"/>
          <w:szCs w:val="28"/>
        </w:rPr>
        <w:t xml:space="preserve">Confirm that this issue is about providing </w:t>
      </w:r>
      <w:r>
        <w:rPr>
          <w:sz w:val="28"/>
          <w:szCs w:val="28"/>
        </w:rPr>
        <w:t>something</w:t>
      </w:r>
      <w:r w:rsidRPr="00AD48B8">
        <w:rPr>
          <w:sz w:val="28"/>
          <w:szCs w:val="28"/>
        </w:rPr>
        <w:t xml:space="preserve"> in the data that reflects </w:t>
      </w:r>
      <w:r w:rsidR="005C1ED9">
        <w:rPr>
          <w:sz w:val="28"/>
          <w:szCs w:val="28"/>
        </w:rPr>
        <w:t>an</w:t>
      </w:r>
      <w:r w:rsidRPr="00AD48B8">
        <w:rPr>
          <w:sz w:val="28"/>
          <w:szCs w:val="28"/>
        </w:rPr>
        <w:t xml:space="preserve"> episode of care.  </w:t>
      </w:r>
      <w:r w:rsidR="005C1ED9">
        <w:rPr>
          <w:sz w:val="28"/>
          <w:szCs w:val="28"/>
        </w:rPr>
        <w:t xml:space="preserve">If yes, </w:t>
      </w:r>
      <w:r w:rsidRPr="005C1ED9">
        <w:rPr>
          <w:sz w:val="28"/>
          <w:szCs w:val="28"/>
        </w:rPr>
        <w:t>Provide reaction to our thought of creating an episode of care table</w:t>
      </w:r>
      <w:r w:rsidR="005C1ED9" w:rsidRPr="005C1ED9">
        <w:rPr>
          <w:sz w:val="28"/>
          <w:szCs w:val="28"/>
        </w:rPr>
        <w:t>.</w:t>
      </w:r>
      <w:r w:rsidRPr="005C1ED9">
        <w:rPr>
          <w:sz w:val="28"/>
          <w:szCs w:val="28"/>
        </w:rPr>
        <w:t xml:space="preserve"> </w:t>
      </w:r>
      <w:r w:rsidR="00B21E1E">
        <w:rPr>
          <w:sz w:val="28"/>
          <w:szCs w:val="28"/>
        </w:rPr>
        <w:t xml:space="preserve"> If no</w:t>
      </w:r>
      <w:r w:rsidR="00455736">
        <w:rPr>
          <w:sz w:val="28"/>
          <w:szCs w:val="28"/>
        </w:rPr>
        <w:t>,</w:t>
      </w:r>
    </w:p>
    <w:p w14:paraId="210C5643" w14:textId="77777777" w:rsidR="00AD48B8" w:rsidRDefault="00F076FE" w:rsidP="005C1ED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Specify what the objective of the issue is</w:t>
      </w:r>
      <w:r w:rsidR="005C1ED9">
        <w:rPr>
          <w:sz w:val="28"/>
          <w:szCs w:val="28"/>
        </w:rPr>
        <w:t xml:space="preserve"> and</w:t>
      </w:r>
      <w:r w:rsidR="00B21E1E">
        <w:rPr>
          <w:sz w:val="28"/>
          <w:szCs w:val="28"/>
        </w:rPr>
        <w:t xml:space="preserve"> develop</w:t>
      </w:r>
      <w:r w:rsidR="005C1ED9">
        <w:rPr>
          <w:sz w:val="28"/>
          <w:szCs w:val="28"/>
        </w:rPr>
        <w:t xml:space="preserve"> recommendations for meeting</w:t>
      </w:r>
      <w:r>
        <w:rPr>
          <w:sz w:val="28"/>
          <w:szCs w:val="28"/>
        </w:rPr>
        <w:t xml:space="preserve"> the</w:t>
      </w:r>
      <w:r w:rsidR="005C1ED9">
        <w:rPr>
          <w:sz w:val="28"/>
          <w:szCs w:val="28"/>
        </w:rPr>
        <w:t xml:space="preserve"> objective.</w:t>
      </w:r>
    </w:p>
    <w:p w14:paraId="7155FA77" w14:textId="04A03D08" w:rsidR="005C1ED9" w:rsidRDefault="00966C70" w:rsidP="00966C70">
      <w:pPr>
        <w:rPr>
          <w:b/>
          <w:sz w:val="28"/>
          <w:szCs w:val="28"/>
        </w:rPr>
      </w:pPr>
      <w:r w:rsidRPr="00966C70">
        <w:rPr>
          <w:b/>
          <w:sz w:val="28"/>
          <w:szCs w:val="28"/>
        </w:rPr>
        <w:t>Summary:</w:t>
      </w:r>
    </w:p>
    <w:p w14:paraId="41EC042F" w14:textId="24B7A92A" w:rsidR="00966C70" w:rsidRDefault="00EF2ADC" w:rsidP="00D47B36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This issue</w:t>
      </w:r>
      <w:r w:rsidR="00966C70">
        <w:rPr>
          <w:sz w:val="28"/>
          <w:szCs w:val="28"/>
        </w:rPr>
        <w:t xml:space="preserve"> relies </w:t>
      </w:r>
      <w:r w:rsidR="00D47B36">
        <w:rPr>
          <w:sz w:val="28"/>
          <w:szCs w:val="28"/>
        </w:rPr>
        <w:t>on the identification of inpatient and outpatient records</w:t>
      </w:r>
      <w:r>
        <w:rPr>
          <w:sz w:val="28"/>
          <w:szCs w:val="28"/>
        </w:rPr>
        <w:t xml:space="preserve">. </w:t>
      </w:r>
      <w:r w:rsidR="00D91F6D">
        <w:rPr>
          <w:sz w:val="28"/>
          <w:szCs w:val="28"/>
        </w:rPr>
        <w:t>D</w:t>
      </w:r>
      <w:r w:rsidR="00D47B36">
        <w:rPr>
          <w:sz w:val="28"/>
          <w:szCs w:val="28"/>
        </w:rPr>
        <w:t xml:space="preserve">efining a </w:t>
      </w:r>
      <w:r w:rsidR="00D91F6D">
        <w:rPr>
          <w:sz w:val="28"/>
          <w:szCs w:val="28"/>
        </w:rPr>
        <w:t>“</w:t>
      </w:r>
      <w:r w:rsidR="00D47B36">
        <w:rPr>
          <w:sz w:val="28"/>
          <w:szCs w:val="28"/>
        </w:rPr>
        <w:t>stay</w:t>
      </w:r>
      <w:r w:rsidR="00D91F6D">
        <w:rPr>
          <w:sz w:val="28"/>
          <w:szCs w:val="28"/>
        </w:rPr>
        <w:t>”</w:t>
      </w:r>
      <w:r>
        <w:rPr>
          <w:sz w:val="28"/>
          <w:szCs w:val="28"/>
        </w:rPr>
        <w:t xml:space="preserve"> in a standard way for all users is not feasible</w:t>
      </w:r>
      <w:r w:rsidR="00D47B36">
        <w:rPr>
          <w:sz w:val="28"/>
          <w:szCs w:val="28"/>
        </w:rPr>
        <w:t xml:space="preserve">. </w:t>
      </w:r>
      <w:r w:rsidR="00D91F6D">
        <w:rPr>
          <w:sz w:val="28"/>
          <w:szCs w:val="28"/>
        </w:rPr>
        <w:t>Because of v</w:t>
      </w:r>
      <w:r w:rsidR="00D47B36">
        <w:rPr>
          <w:sz w:val="28"/>
          <w:szCs w:val="28"/>
        </w:rPr>
        <w:t>ariation in reporting me</w:t>
      </w:r>
      <w:r w:rsidR="00D91F6D">
        <w:rPr>
          <w:sz w:val="28"/>
          <w:szCs w:val="28"/>
        </w:rPr>
        <w:t>asures users</w:t>
      </w:r>
      <w:r w:rsidR="00D47B36">
        <w:rPr>
          <w:sz w:val="28"/>
          <w:szCs w:val="28"/>
        </w:rPr>
        <w:t xml:space="preserve"> may always</w:t>
      </w:r>
      <w:r w:rsidR="00D91F6D">
        <w:rPr>
          <w:sz w:val="28"/>
          <w:szCs w:val="28"/>
        </w:rPr>
        <w:t xml:space="preserve"> need</w:t>
      </w:r>
      <w:r w:rsidR="00D47B36">
        <w:rPr>
          <w:sz w:val="28"/>
          <w:szCs w:val="28"/>
        </w:rPr>
        <w:t xml:space="preserve"> do their own work.</w:t>
      </w:r>
    </w:p>
    <w:p w14:paraId="1251FE00" w14:textId="6E8A1246" w:rsidR="00966C70" w:rsidRDefault="00966C70" w:rsidP="00966C70">
      <w:pPr>
        <w:rPr>
          <w:b/>
          <w:sz w:val="28"/>
          <w:szCs w:val="28"/>
        </w:rPr>
      </w:pPr>
      <w:r w:rsidRPr="00966C70">
        <w:rPr>
          <w:b/>
          <w:sz w:val="28"/>
          <w:szCs w:val="28"/>
        </w:rPr>
        <w:t>Recommendation:</w:t>
      </w:r>
    </w:p>
    <w:p w14:paraId="226D3093" w14:textId="12DCE964" w:rsidR="00D91F6D" w:rsidRDefault="00D91F6D" w:rsidP="00D91F6D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Refer users to commonly used definitions and logic in an FAQ or in the metadata.</w:t>
      </w:r>
      <w:r w:rsidRPr="00D47B36">
        <w:rPr>
          <w:sz w:val="28"/>
          <w:szCs w:val="28"/>
        </w:rPr>
        <w:t xml:space="preserve"> </w:t>
      </w:r>
    </w:p>
    <w:p w14:paraId="77E96B35" w14:textId="3C41ECB4" w:rsidR="00D47B36" w:rsidRDefault="00D47B36" w:rsidP="00EB40D8">
      <w:pPr>
        <w:pStyle w:val="ListParagraph"/>
        <w:numPr>
          <w:ilvl w:val="1"/>
          <w:numId w:val="10"/>
        </w:numPr>
        <w:rPr>
          <w:sz w:val="28"/>
          <w:szCs w:val="28"/>
        </w:rPr>
      </w:pPr>
      <w:r w:rsidRPr="00D47B36">
        <w:rPr>
          <w:sz w:val="28"/>
          <w:szCs w:val="28"/>
        </w:rPr>
        <w:t xml:space="preserve">Medicaid </w:t>
      </w:r>
      <w:r>
        <w:rPr>
          <w:sz w:val="28"/>
          <w:szCs w:val="28"/>
        </w:rPr>
        <w:t>Medical Directors Learning Network</w:t>
      </w:r>
      <w:r w:rsidR="00EB40D8">
        <w:rPr>
          <w:sz w:val="28"/>
          <w:szCs w:val="28"/>
        </w:rPr>
        <w:t xml:space="preserve"> </w:t>
      </w:r>
      <w:hyperlink r:id="rId10" w:history="1">
        <w:r w:rsidR="00EB40D8" w:rsidRPr="006A1A02">
          <w:rPr>
            <w:rStyle w:val="Hyperlink"/>
            <w:sz w:val="28"/>
            <w:szCs w:val="28"/>
          </w:rPr>
          <w:t>http://www.ahrq.gov/policymakers/measurement/quality-by-state/mmdln.html</w:t>
        </w:r>
      </w:hyperlink>
      <w:r w:rsidR="00EB4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75FA027" w14:textId="6A93FDA8" w:rsidR="00D47B36" w:rsidRPr="00AD18DA" w:rsidRDefault="001C1FAE" w:rsidP="00AD18DA">
      <w:pPr>
        <w:pStyle w:val="ListParagraph"/>
        <w:numPr>
          <w:ilvl w:val="2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2010 Data Documentation attached: </w:t>
      </w:r>
      <w:r w:rsidR="00AD18DA" w:rsidRPr="00AD18DA">
        <w:rPr>
          <w:sz w:val="28"/>
          <w:szCs w:val="28"/>
        </w:rPr>
        <w:t>MMDLN Readmissions Specifications, Readmission scenarios, Diagnosis Groups and Categories</w:t>
      </w:r>
    </w:p>
    <w:p w14:paraId="0A7694EE" w14:textId="1DAB93FD" w:rsidR="00B21E1E" w:rsidRDefault="005C1ED9" w:rsidP="00B21E1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B6D1F">
        <w:rPr>
          <w:b/>
          <w:sz w:val="28"/>
          <w:szCs w:val="28"/>
          <w:u w:val="single"/>
        </w:rPr>
        <w:lastRenderedPageBreak/>
        <w:t xml:space="preserve">Reference # </w:t>
      </w:r>
      <w:r w:rsidR="00A83DD5" w:rsidRPr="006B6D1F">
        <w:rPr>
          <w:b/>
          <w:sz w:val="28"/>
          <w:szCs w:val="28"/>
          <w:u w:val="single"/>
        </w:rPr>
        <w:t>21</w:t>
      </w:r>
      <w:r w:rsidRPr="006B6D1F">
        <w:rPr>
          <w:b/>
          <w:sz w:val="28"/>
          <w:szCs w:val="28"/>
          <w:u w:val="single"/>
        </w:rPr>
        <w:t>-</w:t>
      </w:r>
      <w:r w:rsidR="00B21E1E" w:rsidRPr="00B21E1E">
        <w:rPr>
          <w:sz w:val="28"/>
          <w:szCs w:val="28"/>
        </w:rPr>
        <w:t xml:space="preserve"> </w:t>
      </w:r>
      <w:r w:rsidR="00B21E1E" w:rsidRPr="0033577E">
        <w:rPr>
          <w:sz w:val="28"/>
          <w:szCs w:val="28"/>
        </w:rPr>
        <w:t xml:space="preserve">There are two fields specific to this issue that health plans are required to provide (validation threshold is set at </w:t>
      </w:r>
      <w:r w:rsidR="00090389" w:rsidRPr="00786AC1">
        <w:rPr>
          <w:sz w:val="28"/>
          <w:szCs w:val="28"/>
        </w:rPr>
        <w:t>100</w:t>
      </w:r>
      <w:r w:rsidR="00B21E1E" w:rsidRPr="00786AC1">
        <w:rPr>
          <w:sz w:val="28"/>
          <w:szCs w:val="28"/>
        </w:rPr>
        <w:t>%</w:t>
      </w:r>
      <w:r w:rsidR="00090389" w:rsidRPr="00786AC1">
        <w:rPr>
          <w:sz w:val="28"/>
          <w:szCs w:val="28"/>
        </w:rPr>
        <w:t xml:space="preserve"> for inpatient for a valid DRG version MC072</w:t>
      </w:r>
      <w:r w:rsidR="00B21E1E" w:rsidRPr="00786AC1">
        <w:rPr>
          <w:sz w:val="28"/>
          <w:szCs w:val="28"/>
        </w:rPr>
        <w:t>)</w:t>
      </w:r>
      <w:r w:rsidR="00B21E1E" w:rsidRPr="0033577E">
        <w:rPr>
          <w:sz w:val="28"/>
          <w:szCs w:val="28"/>
        </w:rPr>
        <w:t xml:space="preserve"> and that we in turn release:</w:t>
      </w:r>
    </w:p>
    <w:p w14:paraId="023C1EF2" w14:textId="77777777" w:rsidR="00B21E1E" w:rsidRPr="00B21E1E" w:rsidRDefault="00B21E1E" w:rsidP="00F076FE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7"/>
        <w:gridCol w:w="2857"/>
        <w:gridCol w:w="2916"/>
      </w:tblGrid>
      <w:tr w:rsidR="00B21E1E" w14:paraId="5564652C" w14:textId="77777777" w:rsidTr="00FD2015">
        <w:tc>
          <w:tcPr>
            <w:tcW w:w="3192" w:type="dxa"/>
          </w:tcPr>
          <w:p w14:paraId="577BCB08" w14:textId="77777777" w:rsidR="00B21E1E" w:rsidRDefault="00B21E1E" w:rsidP="00FD2015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Element</w:t>
            </w:r>
          </w:p>
        </w:tc>
        <w:tc>
          <w:tcPr>
            <w:tcW w:w="3192" w:type="dxa"/>
          </w:tcPr>
          <w:p w14:paraId="4328D6B0" w14:textId="77777777" w:rsidR="00B21E1E" w:rsidRDefault="00B21E1E" w:rsidP="00FD2015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Column Name</w:t>
            </w:r>
          </w:p>
        </w:tc>
        <w:tc>
          <w:tcPr>
            <w:tcW w:w="3192" w:type="dxa"/>
          </w:tcPr>
          <w:p w14:paraId="10C0F42F" w14:textId="77777777" w:rsidR="00B21E1E" w:rsidRDefault="00B21E1E" w:rsidP="00FD2015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</w:tr>
      <w:tr w:rsidR="00B21E1E" w14:paraId="730CF0B9" w14:textId="77777777" w:rsidTr="00FD2015">
        <w:tc>
          <w:tcPr>
            <w:tcW w:w="3192" w:type="dxa"/>
          </w:tcPr>
          <w:p w14:paraId="078A285F" w14:textId="77777777" w:rsidR="00B21E1E" w:rsidRDefault="00B21E1E" w:rsidP="00FD2015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MC071</w:t>
            </w:r>
          </w:p>
        </w:tc>
        <w:tc>
          <w:tcPr>
            <w:tcW w:w="3192" w:type="dxa"/>
          </w:tcPr>
          <w:p w14:paraId="5A3B80C1" w14:textId="5A591BD6" w:rsidR="00B21E1E" w:rsidRDefault="00A83DD5" w:rsidP="00FD2015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DRG</w:t>
            </w:r>
          </w:p>
        </w:tc>
        <w:tc>
          <w:tcPr>
            <w:tcW w:w="3192" w:type="dxa"/>
          </w:tcPr>
          <w:p w14:paraId="37C74774" w14:textId="77777777" w:rsidR="00B21E1E" w:rsidRDefault="00B21E1E" w:rsidP="00FD2015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DRG</w:t>
            </w:r>
          </w:p>
        </w:tc>
      </w:tr>
      <w:tr w:rsidR="00B21E1E" w14:paraId="6E528BEA" w14:textId="77777777" w:rsidTr="00FD2015">
        <w:tc>
          <w:tcPr>
            <w:tcW w:w="3192" w:type="dxa"/>
          </w:tcPr>
          <w:p w14:paraId="527BE344" w14:textId="77777777" w:rsidR="00B21E1E" w:rsidRDefault="00B21E1E" w:rsidP="00FD2015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MC072</w:t>
            </w:r>
          </w:p>
        </w:tc>
        <w:tc>
          <w:tcPr>
            <w:tcW w:w="3192" w:type="dxa"/>
          </w:tcPr>
          <w:p w14:paraId="75CA7D7E" w14:textId="278DD329" w:rsidR="00B21E1E" w:rsidRDefault="00A83DD5" w:rsidP="00786AC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DRG</w:t>
            </w:r>
            <w:r w:rsidR="006D0D46">
              <w:rPr>
                <w:sz w:val="28"/>
                <w:szCs w:val="28"/>
              </w:rPr>
              <w:t>VER</w:t>
            </w:r>
          </w:p>
        </w:tc>
        <w:tc>
          <w:tcPr>
            <w:tcW w:w="3192" w:type="dxa"/>
          </w:tcPr>
          <w:p w14:paraId="743D4A26" w14:textId="77777777" w:rsidR="00B21E1E" w:rsidRDefault="00B21E1E" w:rsidP="00FD2015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Version number of DRG used</w:t>
            </w:r>
          </w:p>
        </w:tc>
      </w:tr>
    </w:tbl>
    <w:p w14:paraId="6FCE7070" w14:textId="77777777" w:rsidR="00B21E1E" w:rsidRDefault="00B21E1E" w:rsidP="00B21E1E">
      <w:pPr>
        <w:rPr>
          <w:sz w:val="28"/>
          <w:szCs w:val="28"/>
          <w:u w:val="single"/>
        </w:rPr>
      </w:pPr>
    </w:p>
    <w:p w14:paraId="5DBC7032" w14:textId="41F2E0E5" w:rsidR="00B21E1E" w:rsidRPr="0030539B" w:rsidRDefault="00B21E1E" w:rsidP="00B21E1E">
      <w:pPr>
        <w:pStyle w:val="ListParagraph"/>
        <w:rPr>
          <w:b/>
          <w:sz w:val="28"/>
          <w:szCs w:val="28"/>
        </w:rPr>
      </w:pPr>
      <w:r>
        <w:rPr>
          <w:sz w:val="28"/>
          <w:szCs w:val="28"/>
        </w:rPr>
        <w:t xml:space="preserve">In reviewing a recent internal report that provides the threshold and the actual % it appears that </w:t>
      </w:r>
      <w:r w:rsidR="00090389" w:rsidRPr="00786AC1">
        <w:rPr>
          <w:sz w:val="28"/>
          <w:szCs w:val="28"/>
        </w:rPr>
        <w:t>68</w:t>
      </w:r>
      <w:r w:rsidRPr="00786AC1">
        <w:rPr>
          <w:sz w:val="28"/>
          <w:szCs w:val="28"/>
        </w:rPr>
        <w:t>%</w:t>
      </w:r>
      <w:r>
        <w:rPr>
          <w:sz w:val="28"/>
          <w:szCs w:val="28"/>
        </w:rPr>
        <w:t xml:space="preserve"> of the time </w:t>
      </w:r>
      <w:r w:rsidR="00090389">
        <w:rPr>
          <w:sz w:val="28"/>
          <w:szCs w:val="28"/>
        </w:rPr>
        <w:t xml:space="preserve">on inpatient claims </w:t>
      </w:r>
      <w:r>
        <w:rPr>
          <w:sz w:val="28"/>
          <w:szCs w:val="28"/>
        </w:rPr>
        <w:t xml:space="preserve">the health plans are providing this information.  We are in the process of running a report for CY 2102 and 2013 to verify that that these fields are populated.  </w:t>
      </w:r>
      <w:r w:rsidR="0030539B" w:rsidRPr="0030539B">
        <w:rPr>
          <w:b/>
          <w:sz w:val="28"/>
          <w:szCs w:val="28"/>
        </w:rPr>
        <w:t>See information below:</w:t>
      </w:r>
      <w:bookmarkStart w:id="0" w:name="_GoBack"/>
      <w:bookmarkEnd w:id="0"/>
    </w:p>
    <w:p w14:paraId="36D5C4FD" w14:textId="77777777" w:rsidR="0030539B" w:rsidRDefault="0030539B" w:rsidP="0030539B">
      <w:pPr>
        <w:rPr>
          <w:b/>
          <w:bCs/>
          <w:sz w:val="28"/>
          <w:szCs w:val="28"/>
        </w:rPr>
      </w:pPr>
    </w:p>
    <w:p w14:paraId="57E941FC" w14:textId="6CEB5E6D" w:rsidR="0030539B" w:rsidRPr="0030539B" w:rsidRDefault="0030539B" w:rsidP="0030539B">
      <w:pPr>
        <w:rPr>
          <w:b/>
          <w:bCs/>
          <w:sz w:val="28"/>
          <w:szCs w:val="28"/>
        </w:rPr>
      </w:pPr>
      <w:r w:rsidRPr="0030539B">
        <w:rPr>
          <w:b/>
          <w:bCs/>
          <w:sz w:val="28"/>
          <w:szCs w:val="28"/>
        </w:rPr>
        <w:t>Population of MC071 and MC072 for Inpatient Claims, CY 2012 &amp; 2013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1800"/>
        <w:gridCol w:w="4796"/>
      </w:tblGrid>
      <w:tr w:rsidR="0030539B" w:rsidRPr="0030539B" w14:paraId="31B928C0" w14:textId="77777777" w:rsidTr="0030539B"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54A46" w14:textId="77777777" w:rsidR="0030539B" w:rsidRPr="0030539B" w:rsidRDefault="0030539B" w:rsidP="000F078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0539B">
              <w:rPr>
                <w:b/>
                <w:bCs/>
                <w:sz w:val="28"/>
                <w:szCs w:val="28"/>
              </w:rPr>
              <w:t>Payer Type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F1E38" w14:textId="77777777" w:rsidR="0030539B" w:rsidRPr="0030539B" w:rsidRDefault="0030539B" w:rsidP="000F078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0539B">
              <w:rPr>
                <w:b/>
                <w:bCs/>
                <w:sz w:val="28"/>
                <w:szCs w:val="28"/>
              </w:rPr>
              <w:t>Percent of Records with a  Valid MC071_DRG</w:t>
            </w:r>
          </w:p>
        </w:tc>
        <w:tc>
          <w:tcPr>
            <w:tcW w:w="4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72C6D" w14:textId="77777777" w:rsidR="0030539B" w:rsidRPr="0030539B" w:rsidRDefault="0030539B" w:rsidP="000F078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0539B">
              <w:rPr>
                <w:b/>
                <w:bCs/>
                <w:sz w:val="28"/>
                <w:szCs w:val="28"/>
              </w:rPr>
              <w:t>Percent of Records with  a Valid DRG which also have a</w:t>
            </w:r>
          </w:p>
          <w:p w14:paraId="3F802285" w14:textId="77777777" w:rsidR="0030539B" w:rsidRPr="0030539B" w:rsidRDefault="0030539B" w:rsidP="000F078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0539B">
              <w:rPr>
                <w:b/>
                <w:bCs/>
                <w:sz w:val="28"/>
                <w:szCs w:val="28"/>
              </w:rPr>
              <w:t>Valid MC072_DRGVERSION</w:t>
            </w:r>
          </w:p>
        </w:tc>
      </w:tr>
      <w:tr w:rsidR="0030539B" w:rsidRPr="0030539B" w14:paraId="158151D4" w14:textId="77777777" w:rsidTr="0030539B"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D1ED3" w14:textId="1DAA99DE" w:rsidR="0030539B" w:rsidRPr="0030539B" w:rsidRDefault="0030539B" w:rsidP="000F078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0539B">
              <w:rPr>
                <w:color w:val="000000"/>
                <w:sz w:val="28"/>
                <w:szCs w:val="28"/>
              </w:rPr>
              <w:t>Commercial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44CA9" w14:textId="77777777" w:rsidR="0030539B" w:rsidRPr="0030539B" w:rsidRDefault="0030539B" w:rsidP="000F078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0539B">
              <w:rPr>
                <w:color w:val="000000"/>
                <w:sz w:val="28"/>
                <w:szCs w:val="28"/>
              </w:rPr>
              <w:t>66.1%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DB83A" w14:textId="77777777" w:rsidR="0030539B" w:rsidRPr="0030539B" w:rsidRDefault="0030539B" w:rsidP="000F078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0539B">
              <w:rPr>
                <w:color w:val="000000"/>
                <w:sz w:val="28"/>
                <w:szCs w:val="28"/>
              </w:rPr>
              <w:t>47.5%</w:t>
            </w:r>
          </w:p>
        </w:tc>
      </w:tr>
      <w:tr w:rsidR="0030539B" w:rsidRPr="0030539B" w14:paraId="0021FDCB" w14:textId="77777777" w:rsidTr="0030539B"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CF3CE" w14:textId="77777777" w:rsidR="0030539B" w:rsidRPr="0030539B" w:rsidRDefault="0030539B" w:rsidP="000F078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30539B">
              <w:rPr>
                <w:color w:val="000000"/>
                <w:sz w:val="28"/>
                <w:szCs w:val="28"/>
              </w:rPr>
              <w:t>MaineCare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1EBBE" w14:textId="77777777" w:rsidR="0030539B" w:rsidRPr="0030539B" w:rsidRDefault="0030539B" w:rsidP="000F078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0539B">
              <w:rPr>
                <w:color w:val="000000"/>
                <w:sz w:val="28"/>
                <w:szCs w:val="28"/>
              </w:rPr>
              <w:t>42.9%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DC3EB" w14:textId="77777777" w:rsidR="0030539B" w:rsidRPr="0030539B" w:rsidRDefault="0030539B" w:rsidP="000F078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0539B">
              <w:rPr>
                <w:color w:val="000000"/>
                <w:sz w:val="28"/>
                <w:szCs w:val="28"/>
              </w:rPr>
              <w:t>0.0%</w:t>
            </w:r>
          </w:p>
        </w:tc>
      </w:tr>
      <w:tr w:rsidR="0030539B" w:rsidRPr="0030539B" w14:paraId="094ACE3A" w14:textId="77777777" w:rsidTr="0030539B"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20C0B" w14:textId="77777777" w:rsidR="0030539B" w:rsidRPr="0030539B" w:rsidRDefault="0030539B" w:rsidP="000F078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0539B">
              <w:rPr>
                <w:color w:val="000000"/>
                <w:sz w:val="28"/>
                <w:szCs w:val="28"/>
              </w:rPr>
              <w:t>Medicare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4DDC9" w14:textId="77777777" w:rsidR="0030539B" w:rsidRPr="0030539B" w:rsidRDefault="0030539B" w:rsidP="000F078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0539B">
              <w:rPr>
                <w:color w:val="000000"/>
                <w:sz w:val="28"/>
                <w:szCs w:val="28"/>
              </w:rPr>
              <w:t>94.2%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3D6F" w14:textId="77777777" w:rsidR="0030539B" w:rsidRPr="0030539B" w:rsidRDefault="0030539B" w:rsidP="000F078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0539B">
              <w:rPr>
                <w:color w:val="000000"/>
                <w:sz w:val="28"/>
                <w:szCs w:val="28"/>
              </w:rPr>
              <w:t>94.2%</w:t>
            </w:r>
          </w:p>
        </w:tc>
      </w:tr>
    </w:tbl>
    <w:p w14:paraId="2AA0BC6E" w14:textId="77777777" w:rsidR="0030539B" w:rsidRDefault="0030539B" w:rsidP="00B21E1E">
      <w:pPr>
        <w:rPr>
          <w:b/>
          <w:sz w:val="28"/>
          <w:szCs w:val="28"/>
        </w:rPr>
      </w:pPr>
    </w:p>
    <w:p w14:paraId="21292394" w14:textId="77777777" w:rsidR="00B21E1E" w:rsidRDefault="00B21E1E" w:rsidP="00B21E1E">
      <w:pPr>
        <w:rPr>
          <w:b/>
          <w:sz w:val="28"/>
          <w:szCs w:val="28"/>
        </w:rPr>
      </w:pPr>
      <w:r w:rsidRPr="00B21E1E">
        <w:rPr>
          <w:b/>
          <w:sz w:val="28"/>
          <w:szCs w:val="28"/>
        </w:rPr>
        <w:t>Deliverable</w:t>
      </w:r>
      <w:r>
        <w:rPr>
          <w:b/>
          <w:sz w:val="28"/>
          <w:szCs w:val="28"/>
        </w:rPr>
        <w:t>:</w:t>
      </w:r>
    </w:p>
    <w:p w14:paraId="4246B072" w14:textId="77777777" w:rsidR="00F076FE" w:rsidRDefault="00F076FE" w:rsidP="00B21E1E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Specify what is not currently working with data elements collected and released.</w:t>
      </w:r>
    </w:p>
    <w:p w14:paraId="2CEBCA6D" w14:textId="77777777" w:rsidR="00F076FE" w:rsidRDefault="00F076FE" w:rsidP="00B21E1E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Specify what the objective is.</w:t>
      </w:r>
    </w:p>
    <w:p w14:paraId="6CC1763C" w14:textId="77777777" w:rsidR="00B21E1E" w:rsidRDefault="00B21E1E" w:rsidP="00B21E1E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Develop recommendations for </w:t>
      </w:r>
      <w:r w:rsidR="00F076FE">
        <w:rPr>
          <w:sz w:val="28"/>
          <w:szCs w:val="28"/>
        </w:rPr>
        <w:t>meeting objective.</w:t>
      </w:r>
      <w:r>
        <w:rPr>
          <w:sz w:val="28"/>
          <w:szCs w:val="28"/>
        </w:rPr>
        <w:t xml:space="preserve"> </w:t>
      </w:r>
    </w:p>
    <w:p w14:paraId="54E1D64E" w14:textId="79E2D641" w:rsidR="00F076FE" w:rsidRDefault="00F076FE" w:rsidP="00F076FE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Answer the question as to whether or not there </w:t>
      </w:r>
      <w:proofErr w:type="gramStart"/>
      <w:r w:rsidR="00FA4F03">
        <w:rPr>
          <w:sz w:val="28"/>
          <w:szCs w:val="28"/>
        </w:rPr>
        <w:t>is</w:t>
      </w:r>
      <w:proofErr w:type="gramEnd"/>
      <w:r w:rsidRPr="00B21E1E">
        <w:rPr>
          <w:sz w:val="28"/>
          <w:szCs w:val="28"/>
        </w:rPr>
        <w:t xml:space="preserve"> utility in</w:t>
      </w:r>
      <w:r>
        <w:rPr>
          <w:sz w:val="28"/>
          <w:szCs w:val="28"/>
        </w:rPr>
        <w:t xml:space="preserve"> the</w:t>
      </w:r>
      <w:r w:rsidRPr="00B21E1E">
        <w:rPr>
          <w:sz w:val="28"/>
          <w:szCs w:val="28"/>
        </w:rPr>
        <w:t xml:space="preserve"> MHDO applying DRG weights?</w:t>
      </w:r>
    </w:p>
    <w:p w14:paraId="76E74793" w14:textId="1CF1B013" w:rsidR="00F076FE" w:rsidRDefault="00D47B36" w:rsidP="00D47B36">
      <w:pPr>
        <w:rPr>
          <w:b/>
          <w:sz w:val="28"/>
          <w:szCs w:val="28"/>
        </w:rPr>
      </w:pPr>
      <w:r w:rsidRPr="00D47B36">
        <w:rPr>
          <w:b/>
          <w:sz w:val="28"/>
          <w:szCs w:val="28"/>
        </w:rPr>
        <w:t>Summary:</w:t>
      </w:r>
    </w:p>
    <w:p w14:paraId="5AF11A18" w14:textId="77777777" w:rsidR="00D91F6D" w:rsidRPr="00D91F6D" w:rsidRDefault="00591C36" w:rsidP="00D47B36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sz w:val="28"/>
          <w:szCs w:val="28"/>
        </w:rPr>
        <w:t>It</w:t>
      </w:r>
      <w:r w:rsidR="00EF29F2">
        <w:rPr>
          <w:sz w:val="28"/>
          <w:szCs w:val="28"/>
        </w:rPr>
        <w:t xml:space="preserve"> would be helpful </w:t>
      </w:r>
      <w:r>
        <w:rPr>
          <w:sz w:val="28"/>
          <w:szCs w:val="28"/>
        </w:rPr>
        <w:t xml:space="preserve">to have standard calculation </w:t>
      </w:r>
      <w:r w:rsidR="00D91F6D">
        <w:rPr>
          <w:sz w:val="28"/>
          <w:szCs w:val="28"/>
        </w:rPr>
        <w:t>provided by MHDO in addition to the payer provided DRG</w:t>
      </w:r>
      <w:r w:rsidR="00EF29F2">
        <w:rPr>
          <w:sz w:val="28"/>
          <w:szCs w:val="28"/>
        </w:rPr>
        <w:t xml:space="preserve">. </w:t>
      </w:r>
    </w:p>
    <w:p w14:paraId="7B130561" w14:textId="1146B48E" w:rsidR="00EF29F2" w:rsidRPr="00EF29F2" w:rsidRDefault="00EF29F2" w:rsidP="00D47B36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EF29F2">
        <w:rPr>
          <w:sz w:val="28"/>
          <w:szCs w:val="28"/>
        </w:rPr>
        <w:t xml:space="preserve">A cost benefit analysis would need to be done once more information about licensing restrictions (e.g. sharing of documentation) became available. </w:t>
      </w:r>
    </w:p>
    <w:p w14:paraId="7EFC9088" w14:textId="3A41A41F" w:rsidR="00D47B36" w:rsidRDefault="00D47B36" w:rsidP="00D47B36">
      <w:pPr>
        <w:rPr>
          <w:b/>
          <w:sz w:val="28"/>
          <w:szCs w:val="28"/>
        </w:rPr>
      </w:pPr>
      <w:r w:rsidRPr="00D47B36">
        <w:rPr>
          <w:b/>
          <w:sz w:val="28"/>
          <w:szCs w:val="28"/>
        </w:rPr>
        <w:t>Recommendation:</w:t>
      </w:r>
    </w:p>
    <w:p w14:paraId="6D2FBE9B" w14:textId="71349907" w:rsidR="00EF29F2" w:rsidRPr="00EF29F2" w:rsidRDefault="00BF0C5E" w:rsidP="00EF29F2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Collect more than one ICD-9/10 </w:t>
      </w:r>
      <w:r w:rsidR="00C53738">
        <w:rPr>
          <w:sz w:val="28"/>
          <w:szCs w:val="28"/>
        </w:rPr>
        <w:t>procedure</w:t>
      </w:r>
      <w:r w:rsidR="00EF29F2" w:rsidRPr="00EF29F2">
        <w:rPr>
          <w:sz w:val="28"/>
          <w:szCs w:val="28"/>
        </w:rPr>
        <w:t xml:space="preserve"> code from payers so a DRG can be calculated.</w:t>
      </w:r>
    </w:p>
    <w:p w14:paraId="6A85D68F" w14:textId="02C786ED" w:rsidR="00D47B36" w:rsidRPr="00D47B36" w:rsidRDefault="00D47B36" w:rsidP="00D47B36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MHDO </w:t>
      </w:r>
      <w:r w:rsidR="00EF2ADC">
        <w:rPr>
          <w:sz w:val="28"/>
          <w:szCs w:val="28"/>
        </w:rPr>
        <w:t>to purchase</w:t>
      </w:r>
      <w:r>
        <w:rPr>
          <w:sz w:val="28"/>
          <w:szCs w:val="28"/>
        </w:rPr>
        <w:t xml:space="preserve"> a grouper to calculate </w:t>
      </w:r>
      <w:r w:rsidR="00591C36">
        <w:rPr>
          <w:sz w:val="28"/>
          <w:szCs w:val="28"/>
        </w:rPr>
        <w:t xml:space="preserve">the DRG and </w:t>
      </w:r>
      <w:r w:rsidR="00EF2ADC">
        <w:rPr>
          <w:sz w:val="28"/>
          <w:szCs w:val="28"/>
        </w:rPr>
        <w:t>provide</w:t>
      </w:r>
      <w:r>
        <w:rPr>
          <w:sz w:val="28"/>
          <w:szCs w:val="28"/>
        </w:rPr>
        <w:t xml:space="preserve"> additional fields for </w:t>
      </w:r>
      <w:r w:rsidR="00591C36">
        <w:rPr>
          <w:sz w:val="28"/>
          <w:szCs w:val="28"/>
        </w:rPr>
        <w:t>the new</w:t>
      </w:r>
      <w:r w:rsidR="00EF2ADC">
        <w:rPr>
          <w:sz w:val="28"/>
          <w:szCs w:val="28"/>
        </w:rPr>
        <w:t xml:space="preserve"> DRG and v</w:t>
      </w:r>
      <w:r>
        <w:rPr>
          <w:sz w:val="28"/>
          <w:szCs w:val="28"/>
        </w:rPr>
        <w:t>ersion</w:t>
      </w:r>
      <w:r w:rsidR="00591C36">
        <w:rPr>
          <w:sz w:val="28"/>
          <w:szCs w:val="28"/>
        </w:rPr>
        <w:t>. Provide a DRG lookup table as well.</w:t>
      </w:r>
    </w:p>
    <w:sectPr w:rsidR="00D47B36" w:rsidRPr="00D47B36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C81F9" w14:textId="77777777" w:rsidR="00847018" w:rsidRDefault="00847018" w:rsidP="00B21E1E">
      <w:pPr>
        <w:spacing w:after="0" w:line="240" w:lineRule="auto"/>
      </w:pPr>
      <w:r>
        <w:separator/>
      </w:r>
    </w:p>
  </w:endnote>
  <w:endnote w:type="continuationSeparator" w:id="0">
    <w:p w14:paraId="7D0592F6" w14:textId="77777777" w:rsidR="00847018" w:rsidRDefault="00847018" w:rsidP="00B2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BE9D7" w14:textId="77777777" w:rsidR="00847018" w:rsidRDefault="00847018" w:rsidP="00B21E1E">
      <w:pPr>
        <w:spacing w:after="0" w:line="240" w:lineRule="auto"/>
      </w:pPr>
      <w:r>
        <w:separator/>
      </w:r>
    </w:p>
  </w:footnote>
  <w:footnote w:type="continuationSeparator" w:id="0">
    <w:p w14:paraId="74AC9A1F" w14:textId="77777777" w:rsidR="00847018" w:rsidRDefault="00847018" w:rsidP="00B2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915CC" w14:textId="0FEF962C" w:rsidR="00B21E1E" w:rsidRDefault="00B21E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EDB24" w14:textId="7560CE67" w:rsidR="00B21E1E" w:rsidRDefault="00B21E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72253" w14:textId="651273C1" w:rsidR="00B21E1E" w:rsidRDefault="00B21E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08BA"/>
    <w:multiLevelType w:val="hybridMultilevel"/>
    <w:tmpl w:val="48FA03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F76ED"/>
    <w:multiLevelType w:val="hybridMultilevel"/>
    <w:tmpl w:val="0F268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A6752"/>
    <w:multiLevelType w:val="hybridMultilevel"/>
    <w:tmpl w:val="4170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77405"/>
    <w:multiLevelType w:val="hybridMultilevel"/>
    <w:tmpl w:val="1A4C4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83799"/>
    <w:multiLevelType w:val="hybridMultilevel"/>
    <w:tmpl w:val="746CA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30245"/>
    <w:multiLevelType w:val="hybridMultilevel"/>
    <w:tmpl w:val="FE78E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A59A9"/>
    <w:multiLevelType w:val="hybridMultilevel"/>
    <w:tmpl w:val="B75E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A2645"/>
    <w:multiLevelType w:val="hybridMultilevel"/>
    <w:tmpl w:val="A770DDAA"/>
    <w:lvl w:ilvl="0" w:tplc="A1DCE67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43071"/>
    <w:multiLevelType w:val="hybridMultilevel"/>
    <w:tmpl w:val="25883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F443F"/>
    <w:multiLevelType w:val="hybridMultilevel"/>
    <w:tmpl w:val="AB2AE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53B5D"/>
    <w:multiLevelType w:val="hybridMultilevel"/>
    <w:tmpl w:val="0A747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FF"/>
    <w:rsid w:val="00090389"/>
    <w:rsid w:val="000F0252"/>
    <w:rsid w:val="00153AD9"/>
    <w:rsid w:val="001B3EA1"/>
    <w:rsid w:val="001C1FAE"/>
    <w:rsid w:val="0022039F"/>
    <w:rsid w:val="002665C2"/>
    <w:rsid w:val="0030539B"/>
    <w:rsid w:val="0033577E"/>
    <w:rsid w:val="00455736"/>
    <w:rsid w:val="005320FF"/>
    <w:rsid w:val="005672DE"/>
    <w:rsid w:val="00591C36"/>
    <w:rsid w:val="005965B0"/>
    <w:rsid w:val="005C1ED9"/>
    <w:rsid w:val="0063149E"/>
    <w:rsid w:val="006B6D1F"/>
    <w:rsid w:val="006D0D46"/>
    <w:rsid w:val="00775E80"/>
    <w:rsid w:val="00786AC1"/>
    <w:rsid w:val="00815FCB"/>
    <w:rsid w:val="00847018"/>
    <w:rsid w:val="00937B56"/>
    <w:rsid w:val="00966C70"/>
    <w:rsid w:val="00975128"/>
    <w:rsid w:val="00A83DD5"/>
    <w:rsid w:val="00A92BF8"/>
    <w:rsid w:val="00AD18DA"/>
    <w:rsid w:val="00AD48B8"/>
    <w:rsid w:val="00AE0F37"/>
    <w:rsid w:val="00B05DC7"/>
    <w:rsid w:val="00B21E1E"/>
    <w:rsid w:val="00B718E2"/>
    <w:rsid w:val="00B80B0D"/>
    <w:rsid w:val="00BD3BE6"/>
    <w:rsid w:val="00BF0C5E"/>
    <w:rsid w:val="00C53738"/>
    <w:rsid w:val="00C75611"/>
    <w:rsid w:val="00CE244C"/>
    <w:rsid w:val="00D044F1"/>
    <w:rsid w:val="00D47B36"/>
    <w:rsid w:val="00D91F6D"/>
    <w:rsid w:val="00EB40D8"/>
    <w:rsid w:val="00EF29F2"/>
    <w:rsid w:val="00EF2ADC"/>
    <w:rsid w:val="00F076FE"/>
    <w:rsid w:val="00FA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3D5DE2F"/>
  <w15:docId w15:val="{0C92A166-6504-48D4-B712-581F1C62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320FF"/>
    <w:pPr>
      <w:ind w:left="720"/>
      <w:contextualSpacing/>
    </w:pPr>
  </w:style>
  <w:style w:type="table" w:styleId="TableGrid">
    <w:name w:val="Table Grid"/>
    <w:basedOn w:val="TableNormal"/>
    <w:uiPriority w:val="59"/>
    <w:rsid w:val="00220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1E"/>
  </w:style>
  <w:style w:type="paragraph" w:styleId="Footer">
    <w:name w:val="footer"/>
    <w:basedOn w:val="Normal"/>
    <w:link w:val="FooterChar"/>
    <w:uiPriority w:val="99"/>
    <w:unhideWhenUsed/>
    <w:rsid w:val="00B21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1E"/>
  </w:style>
  <w:style w:type="character" w:styleId="CommentReference">
    <w:name w:val="annotation reference"/>
    <w:basedOn w:val="DefaultParagraphFont"/>
    <w:uiPriority w:val="99"/>
    <w:semiHidden/>
    <w:unhideWhenUsed/>
    <w:rsid w:val="00A83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D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D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3D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DC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561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561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partners.com/ucm/groups/public/@hp/@public/documents/documents/dev_057642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hrq.gov/policymakers/measurement/quality-by-state/mmdl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qa.org/PublicationsProducts/HEDIS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2A3C9-FC3E-4358-9BCF-946410B4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Karynlee</dc:creator>
  <cp:keywords/>
  <dc:description/>
  <cp:lastModifiedBy>Leanne Candura</cp:lastModifiedBy>
  <cp:revision>9</cp:revision>
  <dcterms:created xsi:type="dcterms:W3CDTF">2014-05-21T16:09:00Z</dcterms:created>
  <dcterms:modified xsi:type="dcterms:W3CDTF">2014-05-27T16:50:00Z</dcterms:modified>
</cp:coreProperties>
</file>