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00"/>
        <w:gridCol w:w="7668"/>
      </w:tblGrid>
      <w:tr w:rsidR="00D54CBD" w:rsidRPr="008A3410" w:rsidTr="00963C6B">
        <w:trPr>
          <w:cantSplit/>
          <w:trHeight w:val="432"/>
        </w:trPr>
        <w:tc>
          <w:tcPr>
            <w:tcW w:w="1800" w:type="dxa"/>
            <w:vAlign w:val="center"/>
          </w:tcPr>
          <w:p w:rsidR="00D54CBD" w:rsidRPr="008A3410" w:rsidRDefault="00D54CBD" w:rsidP="00963C6B">
            <w:bookmarkStart w:id="0" w:name="_GoBack"/>
            <w:bookmarkEnd w:id="0"/>
            <w:r w:rsidRPr="008A3410">
              <w:t>abx</w:t>
            </w:r>
          </w:p>
        </w:tc>
        <w:tc>
          <w:tcPr>
            <w:tcW w:w="7668" w:type="dxa"/>
            <w:vAlign w:val="center"/>
          </w:tcPr>
          <w:p w:rsidR="00D54CBD" w:rsidRPr="008A3410" w:rsidRDefault="0034349F" w:rsidP="00963C6B">
            <w:r w:rsidRPr="008A3410">
              <w:t>antibiotic</w:t>
            </w:r>
          </w:p>
        </w:tc>
      </w:tr>
      <w:tr w:rsidR="00963C6B" w:rsidRPr="008A3410" w:rsidTr="00963C6B">
        <w:trPr>
          <w:cantSplit/>
          <w:trHeight w:val="432"/>
        </w:trPr>
        <w:tc>
          <w:tcPr>
            <w:tcW w:w="1800" w:type="dxa"/>
            <w:vAlign w:val="center"/>
          </w:tcPr>
          <w:p w:rsidR="00963C6B" w:rsidRPr="008A3410" w:rsidRDefault="00963C6B" w:rsidP="00963C6B">
            <w:r w:rsidRPr="008A3410">
              <w:t>ACH</w:t>
            </w:r>
          </w:p>
        </w:tc>
        <w:tc>
          <w:tcPr>
            <w:tcW w:w="7668" w:type="dxa"/>
            <w:vAlign w:val="center"/>
          </w:tcPr>
          <w:p w:rsidR="00963C6B" w:rsidRPr="008A3410" w:rsidRDefault="00963C6B" w:rsidP="00963C6B">
            <w:r w:rsidRPr="008A3410">
              <w:t>Acute Care Hospital</w:t>
            </w:r>
          </w:p>
        </w:tc>
      </w:tr>
      <w:tr w:rsidR="008A3410" w:rsidRPr="008A3410" w:rsidTr="00963C6B">
        <w:trPr>
          <w:cantSplit/>
          <w:trHeight w:val="432"/>
        </w:trPr>
        <w:tc>
          <w:tcPr>
            <w:tcW w:w="1800" w:type="dxa"/>
            <w:vAlign w:val="center"/>
          </w:tcPr>
          <w:p w:rsidR="008A3410" w:rsidRPr="008A3410" w:rsidRDefault="008A3410" w:rsidP="00963C6B">
            <w:r w:rsidRPr="008A3410">
              <w:t>APIC-PTC</w:t>
            </w:r>
          </w:p>
        </w:tc>
        <w:tc>
          <w:tcPr>
            <w:tcW w:w="7668" w:type="dxa"/>
            <w:vAlign w:val="center"/>
          </w:tcPr>
          <w:p w:rsidR="008A3410" w:rsidRPr="008A3410" w:rsidRDefault="008A3410" w:rsidP="00963C6B">
            <w:r w:rsidRPr="008A3410">
              <w:t>Association for Professionals in Infection Control and Epidemiology - Pine Tree Chapter (Maine)</w:t>
            </w:r>
          </w:p>
        </w:tc>
      </w:tr>
      <w:tr w:rsidR="001F5525" w:rsidRPr="008A3410" w:rsidTr="00963C6B">
        <w:trPr>
          <w:cantSplit/>
          <w:trHeight w:val="432"/>
        </w:trPr>
        <w:tc>
          <w:tcPr>
            <w:tcW w:w="1800" w:type="dxa"/>
            <w:vAlign w:val="center"/>
          </w:tcPr>
          <w:p w:rsidR="001F5525" w:rsidRPr="008A3410" w:rsidRDefault="001F5525" w:rsidP="00963C6B">
            <w:r w:rsidRPr="008A3410">
              <w:t>Attack Rate</w:t>
            </w:r>
          </w:p>
        </w:tc>
        <w:tc>
          <w:tcPr>
            <w:tcW w:w="7668" w:type="dxa"/>
            <w:vAlign w:val="center"/>
          </w:tcPr>
          <w:p w:rsidR="001F5525" w:rsidRPr="008A3410" w:rsidRDefault="001F5525" w:rsidP="001F5525">
            <w:r w:rsidRPr="008A3410">
              <w:t>Measures the spread of infection within a given population (calculated as the number of new cases ÷ the number of persons in the population)</w:t>
            </w:r>
          </w:p>
        </w:tc>
      </w:tr>
      <w:tr w:rsidR="00963C6B" w:rsidRPr="008A3410" w:rsidTr="00963C6B">
        <w:trPr>
          <w:cantSplit/>
          <w:trHeight w:val="432"/>
        </w:trPr>
        <w:tc>
          <w:tcPr>
            <w:tcW w:w="1800" w:type="dxa"/>
            <w:vAlign w:val="center"/>
          </w:tcPr>
          <w:p w:rsidR="00963C6B" w:rsidRPr="008A3410" w:rsidRDefault="00963C6B" w:rsidP="00963C6B">
            <w:r w:rsidRPr="008A3410">
              <w:t>AMS</w:t>
            </w:r>
          </w:p>
        </w:tc>
        <w:tc>
          <w:tcPr>
            <w:tcW w:w="7668" w:type="dxa"/>
            <w:vAlign w:val="center"/>
          </w:tcPr>
          <w:p w:rsidR="00963C6B" w:rsidRPr="008A3410" w:rsidRDefault="00963C6B" w:rsidP="00963C6B">
            <w:r w:rsidRPr="008A3410">
              <w:t>Antimicrobial Stewardship</w:t>
            </w:r>
          </w:p>
        </w:tc>
      </w:tr>
      <w:tr w:rsidR="00963C6B" w:rsidRPr="008A3410" w:rsidTr="00963C6B">
        <w:trPr>
          <w:cantSplit/>
          <w:trHeight w:val="432"/>
        </w:trPr>
        <w:tc>
          <w:tcPr>
            <w:tcW w:w="1800" w:type="dxa"/>
            <w:vAlign w:val="center"/>
          </w:tcPr>
          <w:p w:rsidR="00963C6B" w:rsidRPr="008A3410" w:rsidRDefault="00963C6B" w:rsidP="00963C6B">
            <w:r w:rsidRPr="008A3410">
              <w:t>AUR</w:t>
            </w:r>
          </w:p>
        </w:tc>
        <w:tc>
          <w:tcPr>
            <w:tcW w:w="7668" w:type="dxa"/>
            <w:vAlign w:val="center"/>
          </w:tcPr>
          <w:p w:rsidR="00963C6B" w:rsidRPr="008A3410" w:rsidRDefault="00963C6B" w:rsidP="00963C6B">
            <w:r w:rsidRPr="008A3410">
              <w:t>Antimicrobial Use and Resistance (an NHSN module)</w:t>
            </w:r>
          </w:p>
        </w:tc>
      </w:tr>
      <w:tr w:rsidR="00963C6B" w:rsidRPr="008A3410" w:rsidTr="00963C6B">
        <w:trPr>
          <w:cantSplit/>
          <w:trHeight w:val="432"/>
        </w:trPr>
        <w:tc>
          <w:tcPr>
            <w:tcW w:w="1800" w:type="dxa"/>
            <w:vAlign w:val="center"/>
          </w:tcPr>
          <w:p w:rsidR="00963C6B" w:rsidRPr="008A3410" w:rsidRDefault="00963C6B" w:rsidP="00963C6B">
            <w:r w:rsidRPr="008A3410">
              <w:t>BSI</w:t>
            </w:r>
          </w:p>
        </w:tc>
        <w:tc>
          <w:tcPr>
            <w:tcW w:w="7668" w:type="dxa"/>
            <w:vAlign w:val="center"/>
          </w:tcPr>
          <w:p w:rsidR="00963C6B" w:rsidRPr="008A3410" w:rsidRDefault="00963C6B" w:rsidP="00963C6B">
            <w:r w:rsidRPr="008A3410">
              <w:t>Bloodstream Infection</w:t>
            </w:r>
          </w:p>
        </w:tc>
      </w:tr>
      <w:tr w:rsidR="00963C6B" w:rsidRPr="008A3410" w:rsidTr="00963C6B">
        <w:trPr>
          <w:cantSplit/>
          <w:trHeight w:val="432"/>
        </w:trPr>
        <w:tc>
          <w:tcPr>
            <w:tcW w:w="1800" w:type="dxa"/>
            <w:vAlign w:val="center"/>
          </w:tcPr>
          <w:p w:rsidR="00963C6B" w:rsidRPr="008A3410" w:rsidRDefault="00963C6B" w:rsidP="00963C6B">
            <w:r w:rsidRPr="008A3410">
              <w:t>CAUTI</w:t>
            </w:r>
          </w:p>
        </w:tc>
        <w:tc>
          <w:tcPr>
            <w:tcW w:w="7668" w:type="dxa"/>
            <w:vAlign w:val="center"/>
          </w:tcPr>
          <w:p w:rsidR="00963C6B" w:rsidRPr="008A3410" w:rsidRDefault="00963C6B" w:rsidP="00963C6B">
            <w:r w:rsidRPr="008A3410">
              <w:t>Catheter Associated Urinary Tract Infection</w:t>
            </w:r>
          </w:p>
        </w:tc>
      </w:tr>
      <w:tr w:rsidR="001F5525" w:rsidRPr="008A3410" w:rsidTr="00963C6B">
        <w:trPr>
          <w:cantSplit/>
          <w:trHeight w:val="432"/>
        </w:trPr>
        <w:tc>
          <w:tcPr>
            <w:tcW w:w="1800" w:type="dxa"/>
            <w:vAlign w:val="center"/>
          </w:tcPr>
          <w:p w:rsidR="001F5525" w:rsidRPr="008A3410" w:rsidRDefault="001F5525" w:rsidP="00963C6B">
            <w:r w:rsidRPr="008A3410">
              <w:t>CDC</w:t>
            </w:r>
          </w:p>
        </w:tc>
        <w:tc>
          <w:tcPr>
            <w:tcW w:w="7668" w:type="dxa"/>
            <w:vAlign w:val="center"/>
          </w:tcPr>
          <w:p w:rsidR="001F5525" w:rsidRPr="008A3410" w:rsidRDefault="001F5525" w:rsidP="001F5525">
            <w:r w:rsidRPr="008A3410">
              <w:t>The U.S. Centers for Disease Control or the Maine Center for Disease Control</w:t>
            </w:r>
          </w:p>
        </w:tc>
      </w:tr>
      <w:tr w:rsidR="00963C6B" w:rsidRPr="008A3410" w:rsidTr="00963C6B">
        <w:trPr>
          <w:cantSplit/>
          <w:trHeight w:val="432"/>
        </w:trPr>
        <w:tc>
          <w:tcPr>
            <w:tcW w:w="1800" w:type="dxa"/>
            <w:vAlign w:val="center"/>
          </w:tcPr>
          <w:p w:rsidR="00963C6B" w:rsidRPr="008A3410" w:rsidRDefault="00963C6B" w:rsidP="00963C6B">
            <w:r w:rsidRPr="008A3410">
              <w:t>CDI</w:t>
            </w:r>
          </w:p>
        </w:tc>
        <w:tc>
          <w:tcPr>
            <w:tcW w:w="7668" w:type="dxa"/>
            <w:vAlign w:val="center"/>
          </w:tcPr>
          <w:p w:rsidR="00963C6B" w:rsidRPr="008A3410" w:rsidRDefault="00963C6B" w:rsidP="00963C6B">
            <w:r w:rsidRPr="008A3410">
              <w:t>Clostridium difficile Infection (C.diff.)</w:t>
            </w:r>
          </w:p>
        </w:tc>
      </w:tr>
      <w:tr w:rsidR="00963C6B" w:rsidRPr="008A3410" w:rsidTr="00963C6B">
        <w:trPr>
          <w:cantSplit/>
          <w:trHeight w:val="432"/>
        </w:trPr>
        <w:tc>
          <w:tcPr>
            <w:tcW w:w="1800" w:type="dxa"/>
            <w:vAlign w:val="center"/>
          </w:tcPr>
          <w:p w:rsidR="00963C6B" w:rsidRPr="008A3410" w:rsidRDefault="00963C6B" w:rsidP="00963C6B">
            <w:r w:rsidRPr="008A3410">
              <w:t>CLABSI</w:t>
            </w:r>
          </w:p>
        </w:tc>
        <w:tc>
          <w:tcPr>
            <w:tcW w:w="7668" w:type="dxa"/>
            <w:vAlign w:val="center"/>
          </w:tcPr>
          <w:p w:rsidR="00963C6B" w:rsidRPr="008A3410" w:rsidRDefault="00963C6B" w:rsidP="00963C6B">
            <w:r w:rsidRPr="008A3410">
              <w:t>Central Line Associated Bloodstream Infection</w:t>
            </w:r>
          </w:p>
        </w:tc>
      </w:tr>
      <w:tr w:rsidR="00963C6B" w:rsidRPr="008A3410" w:rsidTr="00963C6B">
        <w:trPr>
          <w:cantSplit/>
          <w:trHeight w:val="432"/>
        </w:trPr>
        <w:tc>
          <w:tcPr>
            <w:tcW w:w="1800" w:type="dxa"/>
            <w:vAlign w:val="center"/>
          </w:tcPr>
          <w:p w:rsidR="00963C6B" w:rsidRPr="008A3410" w:rsidRDefault="00963C6B" w:rsidP="00963C6B">
            <w:r w:rsidRPr="008A3410">
              <w:t>CMS</w:t>
            </w:r>
          </w:p>
        </w:tc>
        <w:tc>
          <w:tcPr>
            <w:tcW w:w="7668" w:type="dxa"/>
            <w:vAlign w:val="center"/>
          </w:tcPr>
          <w:p w:rsidR="00963C6B" w:rsidRPr="008A3410" w:rsidRDefault="00963C6B" w:rsidP="00963C6B">
            <w:r w:rsidRPr="008A3410">
              <w:t>Centers for Medicare &amp; Medicaid Services</w:t>
            </w:r>
          </w:p>
        </w:tc>
      </w:tr>
      <w:tr w:rsidR="00963C6B" w:rsidRPr="008A3410" w:rsidTr="00963C6B">
        <w:trPr>
          <w:cantSplit/>
          <w:trHeight w:val="432"/>
        </w:trPr>
        <w:tc>
          <w:tcPr>
            <w:tcW w:w="1800" w:type="dxa"/>
            <w:vAlign w:val="center"/>
          </w:tcPr>
          <w:p w:rsidR="00963C6B" w:rsidRPr="008A3410" w:rsidRDefault="00963C6B" w:rsidP="00963C6B">
            <w:r w:rsidRPr="008A3410">
              <w:t>CSTE</w:t>
            </w:r>
          </w:p>
        </w:tc>
        <w:tc>
          <w:tcPr>
            <w:tcW w:w="7668" w:type="dxa"/>
            <w:vAlign w:val="center"/>
          </w:tcPr>
          <w:p w:rsidR="00963C6B" w:rsidRPr="008A3410" w:rsidRDefault="00963C6B" w:rsidP="00963C6B">
            <w:r w:rsidRPr="008A3410">
              <w:t xml:space="preserve">Council of State and Territorial Epidemiologists ( </w:t>
            </w:r>
            <w:hyperlink r:id="rId7" w:history="1">
              <w:r w:rsidRPr="008A3410">
                <w:t>www.cste.org</w:t>
              </w:r>
            </w:hyperlink>
            <w:r w:rsidRPr="008A3410">
              <w:t xml:space="preserve"> )</w:t>
            </w:r>
          </w:p>
        </w:tc>
      </w:tr>
      <w:tr w:rsidR="00963C6B" w:rsidRPr="008A3410" w:rsidTr="00963C6B">
        <w:trPr>
          <w:cantSplit/>
          <w:trHeight w:val="432"/>
        </w:trPr>
        <w:tc>
          <w:tcPr>
            <w:tcW w:w="1800" w:type="dxa"/>
            <w:vAlign w:val="center"/>
          </w:tcPr>
          <w:p w:rsidR="00963C6B" w:rsidRPr="008A3410" w:rsidRDefault="00963C6B" w:rsidP="00963C6B">
            <w:r w:rsidRPr="008A3410">
              <w:t>CO</w:t>
            </w:r>
          </w:p>
        </w:tc>
        <w:tc>
          <w:tcPr>
            <w:tcW w:w="7668" w:type="dxa"/>
            <w:vAlign w:val="center"/>
          </w:tcPr>
          <w:p w:rsidR="00963C6B" w:rsidRPr="008A3410" w:rsidRDefault="00963C6B" w:rsidP="00963C6B">
            <w:r w:rsidRPr="008A3410">
              <w:t>Community Onset</w:t>
            </w:r>
          </w:p>
        </w:tc>
      </w:tr>
      <w:tr w:rsidR="00963C6B" w:rsidRPr="008A3410" w:rsidTr="00963C6B">
        <w:trPr>
          <w:cantSplit/>
          <w:trHeight w:val="432"/>
        </w:trPr>
        <w:tc>
          <w:tcPr>
            <w:tcW w:w="1800" w:type="dxa"/>
            <w:vAlign w:val="center"/>
          </w:tcPr>
          <w:p w:rsidR="00963C6B" w:rsidRPr="008A3410" w:rsidRDefault="00963C6B" w:rsidP="00963C6B">
            <w:r w:rsidRPr="008A3410">
              <w:t>CO-HCFA</w:t>
            </w:r>
          </w:p>
        </w:tc>
        <w:tc>
          <w:tcPr>
            <w:tcW w:w="7668" w:type="dxa"/>
            <w:vAlign w:val="center"/>
          </w:tcPr>
          <w:p w:rsidR="00963C6B" w:rsidRPr="008A3410" w:rsidRDefault="00963C6B" w:rsidP="00963C6B">
            <w:r w:rsidRPr="008A3410">
              <w:t>Community Onset – Healthcare Facility Associated</w:t>
            </w:r>
          </w:p>
        </w:tc>
      </w:tr>
      <w:tr w:rsidR="00963C6B" w:rsidRPr="008A3410" w:rsidTr="00963C6B">
        <w:trPr>
          <w:cantSplit/>
          <w:trHeight w:val="432"/>
        </w:trPr>
        <w:tc>
          <w:tcPr>
            <w:tcW w:w="1800" w:type="dxa"/>
            <w:vAlign w:val="center"/>
          </w:tcPr>
          <w:p w:rsidR="00963C6B" w:rsidRPr="008A3410" w:rsidRDefault="00963C6B" w:rsidP="00963C6B">
            <w:r w:rsidRPr="008A3410">
              <w:t>COLO</w:t>
            </w:r>
          </w:p>
        </w:tc>
        <w:tc>
          <w:tcPr>
            <w:tcW w:w="7668" w:type="dxa"/>
            <w:vAlign w:val="center"/>
          </w:tcPr>
          <w:p w:rsidR="00963C6B" w:rsidRPr="008A3410" w:rsidRDefault="00963C6B" w:rsidP="00963C6B">
            <w:r w:rsidRPr="008A3410">
              <w:t>Colon surgical infections/events or procedures</w:t>
            </w:r>
          </w:p>
        </w:tc>
      </w:tr>
      <w:tr w:rsidR="00963C6B" w:rsidRPr="008A3410" w:rsidTr="00963C6B">
        <w:trPr>
          <w:cantSplit/>
          <w:trHeight w:val="432"/>
        </w:trPr>
        <w:tc>
          <w:tcPr>
            <w:tcW w:w="1800" w:type="dxa"/>
            <w:vAlign w:val="center"/>
          </w:tcPr>
          <w:p w:rsidR="00963C6B" w:rsidRPr="008A3410" w:rsidRDefault="00963C6B" w:rsidP="00963C6B">
            <w:r w:rsidRPr="008A3410">
              <w:t>CRE</w:t>
            </w:r>
          </w:p>
        </w:tc>
        <w:tc>
          <w:tcPr>
            <w:tcW w:w="7668" w:type="dxa"/>
            <w:vAlign w:val="center"/>
          </w:tcPr>
          <w:p w:rsidR="00963C6B" w:rsidRPr="008A3410" w:rsidRDefault="00963C6B" w:rsidP="00170D9B">
            <w:r w:rsidRPr="008A3410">
              <w:t xml:space="preserve">Carbapenem-resistant Enterobacteriaceae </w:t>
            </w:r>
            <w:r w:rsidR="00170D9B" w:rsidRPr="008A3410">
              <w:t>(</w:t>
            </w:r>
            <w:r w:rsidR="0034349F" w:rsidRPr="008A3410">
              <w:t xml:space="preserve">a type of </w:t>
            </w:r>
            <w:r w:rsidR="00170D9B" w:rsidRPr="008A3410">
              <w:t>disease bacteria highly resistant to nearly all antibiotics)</w:t>
            </w:r>
          </w:p>
        </w:tc>
      </w:tr>
      <w:tr w:rsidR="00D54CBD" w:rsidRPr="008A3410" w:rsidTr="00963C6B">
        <w:trPr>
          <w:cantSplit/>
          <w:trHeight w:val="432"/>
        </w:trPr>
        <w:tc>
          <w:tcPr>
            <w:tcW w:w="1800" w:type="dxa"/>
            <w:vAlign w:val="center"/>
          </w:tcPr>
          <w:p w:rsidR="00D54CBD" w:rsidRPr="008A3410" w:rsidRDefault="00D54CBD" w:rsidP="00963C6B">
            <w:r w:rsidRPr="008A3410">
              <w:t>dc</w:t>
            </w:r>
          </w:p>
        </w:tc>
        <w:tc>
          <w:tcPr>
            <w:tcW w:w="7668" w:type="dxa"/>
            <w:vAlign w:val="center"/>
          </w:tcPr>
          <w:p w:rsidR="00D54CBD" w:rsidRPr="008A3410" w:rsidRDefault="00D54CBD" w:rsidP="0034349F">
            <w:r w:rsidRPr="008A3410">
              <w:t xml:space="preserve">Discontinue (as in </w:t>
            </w:r>
            <w:r w:rsidR="0034349F" w:rsidRPr="008A3410">
              <w:t xml:space="preserve">to </w:t>
            </w:r>
            <w:r w:rsidRPr="008A3410">
              <w:t>discontinu</w:t>
            </w:r>
            <w:r w:rsidR="0034349F" w:rsidRPr="008A3410">
              <w:t>e</w:t>
            </w:r>
            <w:r w:rsidRPr="008A3410">
              <w:t xml:space="preserve"> a medication)</w:t>
            </w:r>
          </w:p>
        </w:tc>
      </w:tr>
      <w:tr w:rsidR="001C4C91" w:rsidRPr="008A3410" w:rsidTr="00963C6B">
        <w:trPr>
          <w:cantSplit/>
          <w:trHeight w:val="432"/>
        </w:trPr>
        <w:tc>
          <w:tcPr>
            <w:tcW w:w="1800" w:type="dxa"/>
            <w:vAlign w:val="center"/>
          </w:tcPr>
          <w:p w:rsidR="001C4C91" w:rsidRPr="008A3410" w:rsidRDefault="001C4C91" w:rsidP="00963C6B">
            <w:r w:rsidRPr="008A3410">
              <w:t>ELC</w:t>
            </w:r>
          </w:p>
        </w:tc>
        <w:tc>
          <w:tcPr>
            <w:tcW w:w="7668" w:type="dxa"/>
            <w:vAlign w:val="center"/>
          </w:tcPr>
          <w:p w:rsidR="001C4C91" w:rsidRPr="008A3410" w:rsidRDefault="001C4C91" w:rsidP="001C4C91">
            <w:r w:rsidRPr="008A3410">
              <w:t>Epidemiology and Laboratory Capacity for Infectious Diseases (a U.S. CDC funding program to enhance, "the capacity of state, local, and territorial health departments to effectively detect, respond, prevent, and control known and emerging (or re-emerging) infectious diseases")</w:t>
            </w:r>
          </w:p>
        </w:tc>
      </w:tr>
      <w:tr w:rsidR="000F01D0" w:rsidRPr="008A3410" w:rsidTr="00963C6B">
        <w:trPr>
          <w:cantSplit/>
          <w:trHeight w:val="432"/>
        </w:trPr>
        <w:tc>
          <w:tcPr>
            <w:tcW w:w="1800" w:type="dxa"/>
            <w:vAlign w:val="center"/>
          </w:tcPr>
          <w:p w:rsidR="000F01D0" w:rsidRPr="008A3410" w:rsidRDefault="000F01D0" w:rsidP="00963C6B">
            <w:r w:rsidRPr="008A3410">
              <w:t>EMS</w:t>
            </w:r>
          </w:p>
        </w:tc>
        <w:tc>
          <w:tcPr>
            <w:tcW w:w="7668" w:type="dxa"/>
            <w:vAlign w:val="center"/>
          </w:tcPr>
          <w:p w:rsidR="000F01D0" w:rsidRPr="008A3410" w:rsidRDefault="000F01D0" w:rsidP="001C4C91">
            <w:r w:rsidRPr="008A3410">
              <w:t>Emergency Medical Services</w:t>
            </w:r>
          </w:p>
        </w:tc>
      </w:tr>
      <w:tr w:rsidR="00963C6B" w:rsidRPr="008A3410" w:rsidTr="00963C6B">
        <w:trPr>
          <w:cantSplit/>
          <w:trHeight w:val="432"/>
        </w:trPr>
        <w:tc>
          <w:tcPr>
            <w:tcW w:w="1800" w:type="dxa"/>
            <w:vAlign w:val="center"/>
          </w:tcPr>
          <w:p w:rsidR="00963C6B" w:rsidRPr="008A3410" w:rsidRDefault="00963C6B" w:rsidP="00963C6B">
            <w:r w:rsidRPr="008A3410">
              <w:t>EPI</w:t>
            </w:r>
          </w:p>
        </w:tc>
        <w:tc>
          <w:tcPr>
            <w:tcW w:w="7668" w:type="dxa"/>
            <w:vAlign w:val="center"/>
          </w:tcPr>
          <w:p w:rsidR="00963C6B" w:rsidRPr="008A3410" w:rsidRDefault="00963C6B" w:rsidP="00963C6B">
            <w:r w:rsidRPr="008A3410">
              <w:t>Epidemiology or Epidemiologist or Epidemiological</w:t>
            </w:r>
          </w:p>
        </w:tc>
      </w:tr>
      <w:tr w:rsidR="00963C6B" w:rsidRPr="008A3410" w:rsidTr="00963C6B">
        <w:trPr>
          <w:cantSplit/>
          <w:trHeight w:val="432"/>
        </w:trPr>
        <w:tc>
          <w:tcPr>
            <w:tcW w:w="1800" w:type="dxa"/>
            <w:vAlign w:val="center"/>
          </w:tcPr>
          <w:p w:rsidR="00963C6B" w:rsidRPr="008A3410" w:rsidRDefault="00963C6B" w:rsidP="00963C6B">
            <w:r w:rsidRPr="008A3410">
              <w:t>ESBL</w:t>
            </w:r>
          </w:p>
        </w:tc>
        <w:tc>
          <w:tcPr>
            <w:tcW w:w="7668" w:type="dxa"/>
            <w:vAlign w:val="center"/>
          </w:tcPr>
          <w:p w:rsidR="00963C6B" w:rsidRPr="008A3410" w:rsidRDefault="00963C6B" w:rsidP="00963C6B">
            <w:r w:rsidRPr="008A3410">
              <w:t>Extended Spectrum beta-lactamase</w:t>
            </w:r>
            <w:r w:rsidR="0034349F" w:rsidRPr="008A3410">
              <w:t xml:space="preserve"> (bacterial enzymes that breakdown the effectiveness of antibiotics)</w:t>
            </w:r>
          </w:p>
        </w:tc>
      </w:tr>
      <w:tr w:rsidR="00963C6B" w:rsidRPr="008A3410" w:rsidTr="00963C6B">
        <w:trPr>
          <w:cantSplit/>
          <w:trHeight w:val="432"/>
        </w:trPr>
        <w:tc>
          <w:tcPr>
            <w:tcW w:w="1800" w:type="dxa"/>
            <w:vAlign w:val="center"/>
          </w:tcPr>
          <w:p w:rsidR="00963C6B" w:rsidRPr="008A3410" w:rsidRDefault="00963C6B" w:rsidP="00963C6B">
            <w:r w:rsidRPr="008A3410">
              <w:t>GI</w:t>
            </w:r>
          </w:p>
        </w:tc>
        <w:tc>
          <w:tcPr>
            <w:tcW w:w="7668" w:type="dxa"/>
            <w:vAlign w:val="center"/>
          </w:tcPr>
          <w:p w:rsidR="00963C6B" w:rsidRPr="008A3410" w:rsidRDefault="00963C6B" w:rsidP="00963C6B">
            <w:r w:rsidRPr="008A3410">
              <w:t>Gastrointestinal Illness</w:t>
            </w:r>
          </w:p>
        </w:tc>
      </w:tr>
      <w:tr w:rsidR="00D54CBD" w:rsidRPr="008A3410" w:rsidTr="00963C6B">
        <w:trPr>
          <w:cantSplit/>
          <w:trHeight w:val="432"/>
        </w:trPr>
        <w:tc>
          <w:tcPr>
            <w:tcW w:w="1800" w:type="dxa"/>
            <w:vAlign w:val="center"/>
          </w:tcPr>
          <w:p w:rsidR="00D54CBD" w:rsidRPr="008A3410" w:rsidRDefault="00D54CBD" w:rsidP="00963C6B">
            <w:r w:rsidRPr="008A3410">
              <w:t>Gluc.</w:t>
            </w:r>
          </w:p>
        </w:tc>
        <w:tc>
          <w:tcPr>
            <w:tcW w:w="7668" w:type="dxa"/>
            <w:vAlign w:val="center"/>
          </w:tcPr>
          <w:p w:rsidR="00D54CBD" w:rsidRPr="008A3410" w:rsidRDefault="00D54CBD" w:rsidP="00963C6B">
            <w:r w:rsidRPr="008A3410">
              <w:t>Glucose</w:t>
            </w:r>
          </w:p>
        </w:tc>
      </w:tr>
      <w:tr w:rsidR="00963C6B" w:rsidRPr="008A3410" w:rsidTr="00963C6B">
        <w:trPr>
          <w:cantSplit/>
          <w:trHeight w:val="432"/>
        </w:trPr>
        <w:tc>
          <w:tcPr>
            <w:tcW w:w="1800" w:type="dxa"/>
            <w:vAlign w:val="center"/>
          </w:tcPr>
          <w:p w:rsidR="00963C6B" w:rsidRPr="008A3410" w:rsidRDefault="00963C6B" w:rsidP="00963C6B">
            <w:r w:rsidRPr="008A3410">
              <w:lastRenderedPageBreak/>
              <w:t>HAI</w:t>
            </w:r>
          </w:p>
        </w:tc>
        <w:tc>
          <w:tcPr>
            <w:tcW w:w="7668" w:type="dxa"/>
            <w:vAlign w:val="center"/>
          </w:tcPr>
          <w:p w:rsidR="00963C6B" w:rsidRPr="008A3410" w:rsidRDefault="00963C6B" w:rsidP="00963C6B">
            <w:r w:rsidRPr="008A3410">
              <w:t>Healthcare Associated Infections</w:t>
            </w:r>
          </w:p>
        </w:tc>
      </w:tr>
      <w:tr w:rsidR="00963C6B" w:rsidRPr="008A3410" w:rsidTr="00963C6B">
        <w:trPr>
          <w:cantSplit/>
          <w:trHeight w:val="432"/>
        </w:trPr>
        <w:tc>
          <w:tcPr>
            <w:tcW w:w="1800" w:type="dxa"/>
            <w:vAlign w:val="center"/>
          </w:tcPr>
          <w:p w:rsidR="00963C6B" w:rsidRPr="008A3410" w:rsidRDefault="00963C6B" w:rsidP="00963C6B">
            <w:r w:rsidRPr="008A3410">
              <w:t>HCW</w:t>
            </w:r>
          </w:p>
        </w:tc>
        <w:tc>
          <w:tcPr>
            <w:tcW w:w="7668" w:type="dxa"/>
            <w:vAlign w:val="center"/>
          </w:tcPr>
          <w:p w:rsidR="00963C6B" w:rsidRPr="008A3410" w:rsidRDefault="00963C6B" w:rsidP="00963C6B">
            <w:r w:rsidRPr="008A3410">
              <w:t>Healthcare worker</w:t>
            </w:r>
          </w:p>
        </w:tc>
      </w:tr>
      <w:tr w:rsidR="00963C6B" w:rsidRPr="008A3410" w:rsidTr="00963C6B">
        <w:trPr>
          <w:cantSplit/>
          <w:trHeight w:val="432"/>
        </w:trPr>
        <w:tc>
          <w:tcPr>
            <w:tcW w:w="1800" w:type="dxa"/>
            <w:vAlign w:val="center"/>
          </w:tcPr>
          <w:p w:rsidR="00963C6B" w:rsidRPr="008A3410" w:rsidRDefault="00963C6B" w:rsidP="00963C6B">
            <w:r w:rsidRPr="008A3410">
              <w:t>HETL</w:t>
            </w:r>
          </w:p>
        </w:tc>
        <w:tc>
          <w:tcPr>
            <w:tcW w:w="7668" w:type="dxa"/>
            <w:vAlign w:val="center"/>
          </w:tcPr>
          <w:p w:rsidR="00963C6B" w:rsidRPr="008A3410" w:rsidRDefault="00494C0E" w:rsidP="00494C0E">
            <w:r w:rsidRPr="008A3410">
              <w:t xml:space="preserve">The Maine CDC's </w:t>
            </w:r>
            <w:r w:rsidR="00963C6B" w:rsidRPr="008A3410">
              <w:t xml:space="preserve">Health and Environmental Testing Laboratory </w:t>
            </w:r>
          </w:p>
        </w:tc>
      </w:tr>
      <w:tr w:rsidR="00963C6B" w:rsidRPr="008A3410" w:rsidTr="00963C6B">
        <w:trPr>
          <w:cantSplit/>
          <w:trHeight w:val="432"/>
        </w:trPr>
        <w:tc>
          <w:tcPr>
            <w:tcW w:w="1800" w:type="dxa"/>
            <w:vAlign w:val="center"/>
          </w:tcPr>
          <w:p w:rsidR="00963C6B" w:rsidRPr="008A3410" w:rsidRDefault="00963C6B" w:rsidP="00963C6B">
            <w:r w:rsidRPr="008A3410">
              <w:t>HO</w:t>
            </w:r>
          </w:p>
        </w:tc>
        <w:tc>
          <w:tcPr>
            <w:tcW w:w="7668" w:type="dxa"/>
            <w:vAlign w:val="center"/>
          </w:tcPr>
          <w:p w:rsidR="00963C6B" w:rsidRPr="008A3410" w:rsidRDefault="00963C6B" w:rsidP="00963C6B">
            <w:r w:rsidRPr="008A3410">
              <w:t>Healthcare Facility Onset</w:t>
            </w:r>
          </w:p>
        </w:tc>
      </w:tr>
      <w:tr w:rsidR="00963C6B" w:rsidRPr="008A3410" w:rsidTr="00963C6B">
        <w:trPr>
          <w:cantSplit/>
          <w:trHeight w:val="432"/>
        </w:trPr>
        <w:tc>
          <w:tcPr>
            <w:tcW w:w="1800" w:type="dxa"/>
            <w:vAlign w:val="center"/>
          </w:tcPr>
          <w:p w:rsidR="00963C6B" w:rsidRPr="008A3410" w:rsidRDefault="00963C6B" w:rsidP="00963C6B">
            <w:r w:rsidRPr="008A3410">
              <w:t>HP 2020</w:t>
            </w:r>
          </w:p>
        </w:tc>
        <w:tc>
          <w:tcPr>
            <w:tcW w:w="7668" w:type="dxa"/>
            <w:vAlign w:val="center"/>
          </w:tcPr>
          <w:p w:rsidR="00963C6B" w:rsidRPr="008A3410" w:rsidRDefault="00963C6B" w:rsidP="00963C6B">
            <w:r w:rsidRPr="008A3410">
              <w:t xml:space="preserve">Healthy People 2020 ( </w:t>
            </w:r>
            <w:hyperlink r:id="rId8" w:history="1">
              <w:r w:rsidRPr="008A3410">
                <w:t>www.healthypeople.gov</w:t>
              </w:r>
            </w:hyperlink>
            <w:r w:rsidRPr="008A3410">
              <w:t xml:space="preserve"> )</w:t>
            </w:r>
          </w:p>
        </w:tc>
      </w:tr>
      <w:tr w:rsidR="00963C6B" w:rsidRPr="008A3410" w:rsidTr="00963C6B">
        <w:trPr>
          <w:cantSplit/>
          <w:trHeight w:val="432"/>
        </w:trPr>
        <w:tc>
          <w:tcPr>
            <w:tcW w:w="1800" w:type="dxa"/>
            <w:vAlign w:val="center"/>
          </w:tcPr>
          <w:p w:rsidR="00963C6B" w:rsidRPr="008A3410" w:rsidRDefault="00963C6B" w:rsidP="00963C6B">
            <w:r w:rsidRPr="008A3410">
              <w:t>HYST</w:t>
            </w:r>
          </w:p>
        </w:tc>
        <w:tc>
          <w:tcPr>
            <w:tcW w:w="7668" w:type="dxa"/>
            <w:vAlign w:val="center"/>
          </w:tcPr>
          <w:p w:rsidR="00963C6B" w:rsidRPr="008A3410" w:rsidRDefault="00963C6B" w:rsidP="00963C6B">
            <w:r w:rsidRPr="008A3410">
              <w:t>abdominal hysterectomy surgical infections/events or procedures</w:t>
            </w:r>
          </w:p>
        </w:tc>
      </w:tr>
      <w:tr w:rsidR="00963C6B" w:rsidRPr="008A3410" w:rsidTr="00963C6B">
        <w:trPr>
          <w:cantSplit/>
          <w:trHeight w:val="432"/>
        </w:trPr>
        <w:tc>
          <w:tcPr>
            <w:tcW w:w="1800" w:type="dxa"/>
            <w:vAlign w:val="center"/>
          </w:tcPr>
          <w:p w:rsidR="00963C6B" w:rsidRPr="008A3410" w:rsidRDefault="00963C6B" w:rsidP="00963C6B">
            <w:r w:rsidRPr="008A3410">
              <w:t>ICU</w:t>
            </w:r>
          </w:p>
        </w:tc>
        <w:tc>
          <w:tcPr>
            <w:tcW w:w="7668" w:type="dxa"/>
            <w:vAlign w:val="center"/>
          </w:tcPr>
          <w:p w:rsidR="00963C6B" w:rsidRPr="008A3410" w:rsidRDefault="00963C6B" w:rsidP="00963C6B">
            <w:r w:rsidRPr="008A3410">
              <w:t>Intensive Care Unit</w:t>
            </w:r>
          </w:p>
        </w:tc>
      </w:tr>
      <w:tr w:rsidR="00963C6B" w:rsidRPr="008A3410" w:rsidTr="00963C6B">
        <w:trPr>
          <w:cantSplit/>
          <w:trHeight w:val="432"/>
        </w:trPr>
        <w:tc>
          <w:tcPr>
            <w:tcW w:w="1800" w:type="dxa"/>
            <w:vAlign w:val="center"/>
          </w:tcPr>
          <w:p w:rsidR="00963C6B" w:rsidRPr="008A3410" w:rsidRDefault="00963C6B" w:rsidP="00963C6B">
            <w:r w:rsidRPr="008A3410">
              <w:t>IHI</w:t>
            </w:r>
          </w:p>
        </w:tc>
        <w:tc>
          <w:tcPr>
            <w:tcW w:w="7668" w:type="dxa"/>
            <w:vAlign w:val="center"/>
          </w:tcPr>
          <w:p w:rsidR="00963C6B" w:rsidRPr="008A3410" w:rsidRDefault="00963C6B" w:rsidP="00963C6B">
            <w:r w:rsidRPr="008A3410">
              <w:t xml:space="preserve">Institute for Healthcare Improvement ( </w:t>
            </w:r>
            <w:hyperlink r:id="rId9" w:history="1">
              <w:r w:rsidRPr="008A3410">
                <w:t>www.ihi.org</w:t>
              </w:r>
            </w:hyperlink>
            <w:r w:rsidRPr="008A3410">
              <w:t xml:space="preserve"> )</w:t>
            </w:r>
          </w:p>
        </w:tc>
      </w:tr>
      <w:tr w:rsidR="00963C6B" w:rsidRPr="008A3410" w:rsidTr="00963C6B">
        <w:trPr>
          <w:cantSplit/>
          <w:trHeight w:val="432"/>
        </w:trPr>
        <w:tc>
          <w:tcPr>
            <w:tcW w:w="1800" w:type="dxa"/>
            <w:vAlign w:val="center"/>
          </w:tcPr>
          <w:p w:rsidR="00963C6B" w:rsidRPr="008A3410" w:rsidRDefault="00963C6B" w:rsidP="00963C6B">
            <w:r w:rsidRPr="008A3410">
              <w:t>ILI</w:t>
            </w:r>
          </w:p>
        </w:tc>
        <w:tc>
          <w:tcPr>
            <w:tcW w:w="7668" w:type="dxa"/>
            <w:vAlign w:val="center"/>
          </w:tcPr>
          <w:p w:rsidR="00963C6B" w:rsidRPr="008A3410" w:rsidRDefault="00963C6B" w:rsidP="00963C6B">
            <w:r w:rsidRPr="008A3410">
              <w:t>Influenza-like Illness</w:t>
            </w:r>
          </w:p>
        </w:tc>
      </w:tr>
      <w:tr w:rsidR="00963C6B" w:rsidRPr="008A3410" w:rsidTr="00963C6B">
        <w:trPr>
          <w:cantSplit/>
          <w:trHeight w:val="432"/>
        </w:trPr>
        <w:tc>
          <w:tcPr>
            <w:tcW w:w="1800" w:type="dxa"/>
            <w:vAlign w:val="center"/>
          </w:tcPr>
          <w:p w:rsidR="00963C6B" w:rsidRPr="008A3410" w:rsidRDefault="00963C6B" w:rsidP="00963C6B">
            <w:r w:rsidRPr="008A3410">
              <w:t>Lab ID</w:t>
            </w:r>
          </w:p>
        </w:tc>
        <w:tc>
          <w:tcPr>
            <w:tcW w:w="7668" w:type="dxa"/>
            <w:vAlign w:val="center"/>
          </w:tcPr>
          <w:p w:rsidR="00963C6B" w:rsidRPr="008A3410" w:rsidRDefault="00963C6B" w:rsidP="0034349F">
            <w:r w:rsidRPr="008A3410">
              <w:t xml:space="preserve">Laboratory Identified (method of surveillance based </w:t>
            </w:r>
            <w:r w:rsidR="0034349F" w:rsidRPr="008A3410">
              <w:t xml:space="preserve">solely </w:t>
            </w:r>
            <w:r w:rsidRPr="008A3410">
              <w:t xml:space="preserve">on </w:t>
            </w:r>
            <w:r w:rsidR="0034349F" w:rsidRPr="008A3410">
              <w:t xml:space="preserve">a </w:t>
            </w:r>
            <w:r w:rsidRPr="008A3410">
              <w:t xml:space="preserve">positive lab test </w:t>
            </w:r>
            <w:r w:rsidR="0034349F" w:rsidRPr="008A3410">
              <w:t>combined with the</w:t>
            </w:r>
            <w:r w:rsidRPr="008A3410">
              <w:t xml:space="preserve"> dates of admission and specimen collection)</w:t>
            </w:r>
          </w:p>
        </w:tc>
      </w:tr>
      <w:tr w:rsidR="00963C6B" w:rsidRPr="008A3410" w:rsidTr="00963C6B">
        <w:trPr>
          <w:cantSplit/>
          <w:trHeight w:val="432"/>
        </w:trPr>
        <w:tc>
          <w:tcPr>
            <w:tcW w:w="1800" w:type="dxa"/>
            <w:vAlign w:val="center"/>
          </w:tcPr>
          <w:p w:rsidR="00963C6B" w:rsidRPr="008A3410" w:rsidRDefault="00963C6B" w:rsidP="00963C6B">
            <w:r w:rsidRPr="008A3410">
              <w:t>LTC</w:t>
            </w:r>
          </w:p>
        </w:tc>
        <w:tc>
          <w:tcPr>
            <w:tcW w:w="7668" w:type="dxa"/>
            <w:vAlign w:val="center"/>
          </w:tcPr>
          <w:p w:rsidR="00963C6B" w:rsidRPr="008A3410" w:rsidRDefault="00963C6B" w:rsidP="00963C6B">
            <w:r w:rsidRPr="008A3410">
              <w:t>Long Term Care</w:t>
            </w:r>
          </w:p>
        </w:tc>
      </w:tr>
      <w:tr w:rsidR="00963C6B" w:rsidRPr="008A3410" w:rsidTr="00963C6B">
        <w:trPr>
          <w:cantSplit/>
          <w:trHeight w:val="432"/>
        </w:trPr>
        <w:tc>
          <w:tcPr>
            <w:tcW w:w="1800" w:type="dxa"/>
            <w:vAlign w:val="center"/>
          </w:tcPr>
          <w:p w:rsidR="00963C6B" w:rsidRPr="008A3410" w:rsidRDefault="00963C6B" w:rsidP="00963C6B">
            <w:r w:rsidRPr="008A3410">
              <w:t>MIPC</w:t>
            </w:r>
          </w:p>
        </w:tc>
        <w:tc>
          <w:tcPr>
            <w:tcW w:w="7668" w:type="dxa"/>
            <w:vAlign w:val="center"/>
          </w:tcPr>
          <w:p w:rsidR="00963C6B" w:rsidRPr="008A3410" w:rsidRDefault="00963C6B" w:rsidP="00963C6B">
            <w:r w:rsidRPr="008A3410">
              <w:t>Maine Infection Prevention Collaborative</w:t>
            </w:r>
            <w:r w:rsidR="008A3410" w:rsidRPr="008A3410">
              <w:t xml:space="preserve"> (now merged with APIC-PTC)</w:t>
            </w:r>
          </w:p>
        </w:tc>
      </w:tr>
      <w:tr w:rsidR="00494C0E" w:rsidRPr="008A3410" w:rsidTr="00963C6B">
        <w:trPr>
          <w:cantSplit/>
          <w:trHeight w:val="432"/>
        </w:trPr>
        <w:tc>
          <w:tcPr>
            <w:tcW w:w="1800" w:type="dxa"/>
            <w:vAlign w:val="center"/>
          </w:tcPr>
          <w:p w:rsidR="00494C0E" w:rsidRPr="008A3410" w:rsidRDefault="00494C0E" w:rsidP="00963C6B">
            <w:r w:rsidRPr="008A3410">
              <w:t>Mixed Acuity Unit</w:t>
            </w:r>
          </w:p>
        </w:tc>
        <w:tc>
          <w:tcPr>
            <w:tcW w:w="7668" w:type="dxa"/>
            <w:vAlign w:val="center"/>
          </w:tcPr>
          <w:p w:rsidR="00494C0E" w:rsidRPr="008A3410" w:rsidRDefault="00494C0E" w:rsidP="00963C6B">
            <w:r w:rsidRPr="008A3410">
              <w:t>A hospital unit providing more than one level of care (e.g., ICU, etc.) where no one level represents 80%-or-more of the patients treated in the unit</w:t>
            </w:r>
          </w:p>
        </w:tc>
      </w:tr>
      <w:tr w:rsidR="00963C6B" w:rsidRPr="008A3410" w:rsidTr="00963C6B">
        <w:trPr>
          <w:cantSplit/>
          <w:trHeight w:val="432"/>
        </w:trPr>
        <w:tc>
          <w:tcPr>
            <w:tcW w:w="1800" w:type="dxa"/>
            <w:vAlign w:val="center"/>
          </w:tcPr>
          <w:p w:rsidR="00963C6B" w:rsidRPr="008A3410" w:rsidRDefault="00963C6B" w:rsidP="00963C6B">
            <w:r w:rsidRPr="008A3410">
              <w:t>MDRO</w:t>
            </w:r>
          </w:p>
        </w:tc>
        <w:tc>
          <w:tcPr>
            <w:tcW w:w="7668" w:type="dxa"/>
            <w:vAlign w:val="center"/>
          </w:tcPr>
          <w:p w:rsidR="00963C6B" w:rsidRPr="008A3410" w:rsidRDefault="00963C6B" w:rsidP="00963C6B">
            <w:r w:rsidRPr="008A3410">
              <w:t>Multi-drug resistant organism (examples:  CRE, ESBL, MRSA, VRE and CDI)</w:t>
            </w:r>
          </w:p>
        </w:tc>
      </w:tr>
      <w:tr w:rsidR="00963C6B" w:rsidRPr="008A3410" w:rsidTr="00963C6B">
        <w:trPr>
          <w:cantSplit/>
          <w:trHeight w:val="432"/>
        </w:trPr>
        <w:tc>
          <w:tcPr>
            <w:tcW w:w="1800" w:type="dxa"/>
            <w:vAlign w:val="center"/>
          </w:tcPr>
          <w:p w:rsidR="00963C6B" w:rsidRPr="008A3410" w:rsidRDefault="00963C6B" w:rsidP="00963C6B">
            <w:r w:rsidRPr="008A3410">
              <w:t>MMWR</w:t>
            </w:r>
          </w:p>
        </w:tc>
        <w:tc>
          <w:tcPr>
            <w:tcW w:w="7668" w:type="dxa"/>
            <w:vAlign w:val="center"/>
          </w:tcPr>
          <w:p w:rsidR="00963C6B" w:rsidRPr="008A3410" w:rsidRDefault="00963C6B" w:rsidP="00963C6B">
            <w:r w:rsidRPr="008A3410">
              <w:t>Morbidity and Mortality Weekly Report</w:t>
            </w:r>
          </w:p>
        </w:tc>
      </w:tr>
      <w:tr w:rsidR="00963C6B" w:rsidRPr="008A3410" w:rsidTr="00963C6B">
        <w:trPr>
          <w:cantSplit/>
          <w:trHeight w:val="432"/>
        </w:trPr>
        <w:tc>
          <w:tcPr>
            <w:tcW w:w="1800" w:type="dxa"/>
            <w:vAlign w:val="center"/>
          </w:tcPr>
          <w:p w:rsidR="00963C6B" w:rsidRPr="008A3410" w:rsidRDefault="00963C6B" w:rsidP="00963C6B">
            <w:r w:rsidRPr="008A3410">
              <w:t>MRSA</w:t>
            </w:r>
          </w:p>
        </w:tc>
        <w:tc>
          <w:tcPr>
            <w:tcW w:w="7668" w:type="dxa"/>
            <w:vAlign w:val="center"/>
          </w:tcPr>
          <w:p w:rsidR="00963C6B" w:rsidRPr="008A3410" w:rsidRDefault="00963C6B" w:rsidP="00963C6B">
            <w:r w:rsidRPr="008A3410">
              <w:t xml:space="preserve">Methicillin-resistant Staphylococcus aureus </w:t>
            </w:r>
          </w:p>
        </w:tc>
      </w:tr>
      <w:tr w:rsidR="00963C6B" w:rsidRPr="008A3410" w:rsidTr="00963C6B">
        <w:trPr>
          <w:cantSplit/>
          <w:trHeight w:val="432"/>
        </w:trPr>
        <w:tc>
          <w:tcPr>
            <w:tcW w:w="1800" w:type="dxa"/>
            <w:vAlign w:val="center"/>
          </w:tcPr>
          <w:p w:rsidR="00963C6B" w:rsidRPr="008A3410" w:rsidRDefault="00963C6B" w:rsidP="00963C6B">
            <w:r w:rsidRPr="008A3410">
              <w:t>MS or Med/Surg</w:t>
            </w:r>
          </w:p>
        </w:tc>
        <w:tc>
          <w:tcPr>
            <w:tcW w:w="7668" w:type="dxa"/>
            <w:vAlign w:val="center"/>
          </w:tcPr>
          <w:p w:rsidR="00963C6B" w:rsidRPr="008A3410" w:rsidRDefault="00963C6B" w:rsidP="00963C6B">
            <w:r w:rsidRPr="008A3410">
              <w:t>Medical/Surgical Unit</w:t>
            </w:r>
          </w:p>
        </w:tc>
      </w:tr>
      <w:tr w:rsidR="00963C6B" w:rsidRPr="008A3410" w:rsidTr="00963C6B">
        <w:trPr>
          <w:cantSplit/>
          <w:trHeight w:val="432"/>
        </w:trPr>
        <w:tc>
          <w:tcPr>
            <w:tcW w:w="1800" w:type="dxa"/>
            <w:vAlign w:val="center"/>
          </w:tcPr>
          <w:p w:rsidR="00963C6B" w:rsidRPr="008A3410" w:rsidRDefault="00963C6B" w:rsidP="00963C6B">
            <w:r w:rsidRPr="008A3410">
              <w:t>MQF</w:t>
            </w:r>
          </w:p>
        </w:tc>
        <w:tc>
          <w:tcPr>
            <w:tcW w:w="7668" w:type="dxa"/>
            <w:vAlign w:val="center"/>
          </w:tcPr>
          <w:p w:rsidR="00963C6B" w:rsidRPr="008A3410" w:rsidRDefault="00963C6B" w:rsidP="00963C6B">
            <w:r w:rsidRPr="008A3410">
              <w:t>Maine Quality Forum</w:t>
            </w:r>
          </w:p>
        </w:tc>
      </w:tr>
      <w:tr w:rsidR="00963C6B" w:rsidRPr="008A3410" w:rsidTr="00963C6B">
        <w:trPr>
          <w:cantSplit/>
          <w:trHeight w:val="432"/>
        </w:trPr>
        <w:tc>
          <w:tcPr>
            <w:tcW w:w="1800" w:type="dxa"/>
            <w:vAlign w:val="center"/>
          </w:tcPr>
          <w:p w:rsidR="00963C6B" w:rsidRPr="008A3410" w:rsidRDefault="00963C6B" w:rsidP="00963C6B">
            <w:r w:rsidRPr="008A3410">
              <w:t>NICU</w:t>
            </w:r>
          </w:p>
        </w:tc>
        <w:tc>
          <w:tcPr>
            <w:tcW w:w="7668" w:type="dxa"/>
            <w:vAlign w:val="center"/>
          </w:tcPr>
          <w:p w:rsidR="00963C6B" w:rsidRPr="008A3410" w:rsidRDefault="00963C6B" w:rsidP="00963C6B">
            <w:r w:rsidRPr="008A3410">
              <w:t>Neonatal Intensive Care Unit</w:t>
            </w:r>
          </w:p>
        </w:tc>
      </w:tr>
      <w:tr w:rsidR="00963C6B" w:rsidRPr="008A3410" w:rsidTr="00963C6B">
        <w:trPr>
          <w:cantSplit/>
          <w:trHeight w:val="432"/>
        </w:trPr>
        <w:tc>
          <w:tcPr>
            <w:tcW w:w="1800" w:type="dxa"/>
            <w:vAlign w:val="center"/>
          </w:tcPr>
          <w:p w:rsidR="00963C6B" w:rsidRPr="008A3410" w:rsidRDefault="00963C6B" w:rsidP="00963C6B">
            <w:r w:rsidRPr="008A3410">
              <w:t>NHSN</w:t>
            </w:r>
          </w:p>
        </w:tc>
        <w:tc>
          <w:tcPr>
            <w:tcW w:w="7668" w:type="dxa"/>
            <w:vAlign w:val="center"/>
          </w:tcPr>
          <w:p w:rsidR="00963C6B" w:rsidRPr="008A3410" w:rsidRDefault="00963C6B" w:rsidP="001C4C91">
            <w:r w:rsidRPr="008A3410">
              <w:t>National Healthcare Safety Network (</w:t>
            </w:r>
            <w:r w:rsidR="001C4C91" w:rsidRPr="008A3410">
              <w:t xml:space="preserve">the U.S. CDC's repository for HAI </w:t>
            </w:r>
            <w:r w:rsidR="001C4C91" w:rsidRPr="008A3410">
              <w:br/>
              <w:t>reporting data</w:t>
            </w:r>
            <w:r w:rsidRPr="008A3410">
              <w:t>)</w:t>
            </w:r>
          </w:p>
        </w:tc>
      </w:tr>
      <w:tr w:rsidR="00A0107D" w:rsidRPr="008A3410" w:rsidTr="00963C6B">
        <w:trPr>
          <w:cantSplit/>
          <w:trHeight w:val="432"/>
        </w:trPr>
        <w:tc>
          <w:tcPr>
            <w:tcW w:w="1800" w:type="dxa"/>
            <w:vAlign w:val="center"/>
          </w:tcPr>
          <w:p w:rsidR="00A0107D" w:rsidRPr="008A3410" w:rsidRDefault="00A0107D" w:rsidP="00963C6B">
            <w:r w:rsidRPr="008A3410">
              <w:t>Nosocomial infection</w:t>
            </w:r>
          </w:p>
        </w:tc>
        <w:tc>
          <w:tcPr>
            <w:tcW w:w="7668" w:type="dxa"/>
            <w:vAlign w:val="center"/>
          </w:tcPr>
          <w:p w:rsidR="00A0107D" w:rsidRPr="008A3410" w:rsidRDefault="00A0107D" w:rsidP="00A0107D">
            <w:r w:rsidRPr="008A3410">
              <w:t>A disease acquired by a patient while being treated in a healthcare facility</w:t>
            </w:r>
          </w:p>
        </w:tc>
      </w:tr>
      <w:tr w:rsidR="00170D9B" w:rsidRPr="008A3410" w:rsidTr="00963C6B">
        <w:trPr>
          <w:cantSplit/>
          <w:trHeight w:val="432"/>
        </w:trPr>
        <w:tc>
          <w:tcPr>
            <w:tcW w:w="1800" w:type="dxa"/>
            <w:vAlign w:val="center"/>
          </w:tcPr>
          <w:p w:rsidR="00170D9B" w:rsidRPr="008A3410" w:rsidRDefault="00170D9B" w:rsidP="00963C6B">
            <w:r w:rsidRPr="008A3410">
              <w:t>PCR</w:t>
            </w:r>
          </w:p>
        </w:tc>
        <w:tc>
          <w:tcPr>
            <w:tcW w:w="7668" w:type="dxa"/>
            <w:vAlign w:val="center"/>
          </w:tcPr>
          <w:p w:rsidR="00170D9B" w:rsidRPr="008A3410" w:rsidRDefault="00170D9B" w:rsidP="00963C6B">
            <w:r w:rsidRPr="008A3410">
              <w:t>Polymerase chain reaction (a method of DNA analysis used in genetic testing, that can also be used to detect and identify even very small levels of disease organisms)</w:t>
            </w:r>
          </w:p>
        </w:tc>
      </w:tr>
      <w:tr w:rsidR="00D54CBD" w:rsidRPr="008A3410" w:rsidTr="00963C6B">
        <w:trPr>
          <w:cantSplit/>
          <w:trHeight w:val="432"/>
        </w:trPr>
        <w:tc>
          <w:tcPr>
            <w:tcW w:w="1800" w:type="dxa"/>
            <w:vAlign w:val="center"/>
          </w:tcPr>
          <w:p w:rsidR="00D54CBD" w:rsidRPr="008A3410" w:rsidRDefault="00D54CBD" w:rsidP="00963C6B">
            <w:r w:rsidRPr="008A3410">
              <w:t>Periop</w:t>
            </w:r>
          </w:p>
        </w:tc>
        <w:tc>
          <w:tcPr>
            <w:tcW w:w="7668" w:type="dxa"/>
            <w:vAlign w:val="center"/>
          </w:tcPr>
          <w:p w:rsidR="00D54CBD" w:rsidRPr="008A3410" w:rsidRDefault="00D54CBD" w:rsidP="00963C6B">
            <w:r w:rsidRPr="008A3410">
              <w:t xml:space="preserve">Perioperative:  </w:t>
            </w:r>
            <w:r w:rsidR="00A0107D" w:rsidRPr="008A3410">
              <w:t>the period of time before, during and after surgery</w:t>
            </w:r>
          </w:p>
        </w:tc>
      </w:tr>
      <w:tr w:rsidR="00963C6B" w:rsidRPr="008A3410" w:rsidTr="00963C6B">
        <w:trPr>
          <w:cantSplit/>
          <w:trHeight w:val="432"/>
        </w:trPr>
        <w:tc>
          <w:tcPr>
            <w:tcW w:w="1800" w:type="dxa"/>
            <w:vAlign w:val="center"/>
          </w:tcPr>
          <w:p w:rsidR="00963C6B" w:rsidRPr="008A3410" w:rsidRDefault="00963C6B" w:rsidP="00963C6B">
            <w:r w:rsidRPr="008A3410">
              <w:t>PFGE</w:t>
            </w:r>
          </w:p>
        </w:tc>
        <w:tc>
          <w:tcPr>
            <w:tcW w:w="7668" w:type="dxa"/>
            <w:vAlign w:val="center"/>
          </w:tcPr>
          <w:p w:rsidR="00963C6B" w:rsidRPr="008A3410" w:rsidRDefault="00963C6B" w:rsidP="00963C6B">
            <w:r w:rsidRPr="008A3410">
              <w:t xml:space="preserve">Pulsed-field Gel Electrophoresis (a type of lab test that looks at the DNA of </w:t>
            </w:r>
            <w:r w:rsidRPr="008A3410">
              <w:br/>
              <w:t>an organism)</w:t>
            </w:r>
          </w:p>
        </w:tc>
      </w:tr>
      <w:tr w:rsidR="00963C6B" w:rsidRPr="008A3410" w:rsidTr="00963C6B">
        <w:trPr>
          <w:cantSplit/>
          <w:trHeight w:val="432"/>
        </w:trPr>
        <w:tc>
          <w:tcPr>
            <w:tcW w:w="1800" w:type="dxa"/>
            <w:vAlign w:val="center"/>
          </w:tcPr>
          <w:p w:rsidR="00963C6B" w:rsidRPr="008A3410" w:rsidRDefault="00963C6B" w:rsidP="00963C6B">
            <w:r w:rsidRPr="008A3410">
              <w:t>PPV</w:t>
            </w:r>
          </w:p>
        </w:tc>
        <w:tc>
          <w:tcPr>
            <w:tcW w:w="7668" w:type="dxa"/>
            <w:vAlign w:val="center"/>
          </w:tcPr>
          <w:p w:rsidR="00963C6B" w:rsidRPr="008A3410" w:rsidRDefault="00963C6B" w:rsidP="00963C6B">
            <w:r w:rsidRPr="008A3410">
              <w:t>Positive Predictive Value</w:t>
            </w:r>
            <w:r w:rsidR="00A0107D" w:rsidRPr="008A3410">
              <w:t xml:space="preserve"> – the proportion of positive test results that are true positives compared to false positives</w:t>
            </w:r>
          </w:p>
        </w:tc>
      </w:tr>
      <w:tr w:rsidR="00963C6B" w:rsidRPr="008A3410" w:rsidTr="00963C6B">
        <w:trPr>
          <w:cantSplit/>
          <w:trHeight w:val="432"/>
        </w:trPr>
        <w:tc>
          <w:tcPr>
            <w:tcW w:w="1800" w:type="dxa"/>
            <w:vAlign w:val="center"/>
          </w:tcPr>
          <w:p w:rsidR="00963C6B" w:rsidRPr="008A3410" w:rsidRDefault="00963C6B" w:rsidP="00963C6B">
            <w:r w:rsidRPr="008A3410">
              <w:lastRenderedPageBreak/>
              <w:t>QIN-QIO</w:t>
            </w:r>
          </w:p>
        </w:tc>
        <w:tc>
          <w:tcPr>
            <w:tcW w:w="7668" w:type="dxa"/>
            <w:vAlign w:val="center"/>
          </w:tcPr>
          <w:p w:rsidR="00963C6B" w:rsidRPr="008A3410" w:rsidRDefault="00963C6B" w:rsidP="00494C0E">
            <w:r w:rsidRPr="008A3410">
              <w:t>Quality Innovation Network-Quality Improvement Organization (</w:t>
            </w:r>
            <w:r w:rsidR="00494C0E" w:rsidRPr="008A3410">
              <w:t>e.g.</w:t>
            </w:r>
            <w:r w:rsidRPr="008A3410">
              <w:t>.,   Healthcentric Advisors)</w:t>
            </w:r>
          </w:p>
        </w:tc>
      </w:tr>
      <w:tr w:rsidR="00963C6B" w:rsidRPr="008A3410" w:rsidTr="00963C6B">
        <w:trPr>
          <w:cantSplit/>
          <w:trHeight w:val="432"/>
        </w:trPr>
        <w:tc>
          <w:tcPr>
            <w:tcW w:w="1800" w:type="dxa"/>
            <w:vAlign w:val="center"/>
          </w:tcPr>
          <w:p w:rsidR="00963C6B" w:rsidRPr="008A3410" w:rsidRDefault="00963C6B" w:rsidP="00963C6B">
            <w:r w:rsidRPr="008A3410">
              <w:t>SCIP</w:t>
            </w:r>
          </w:p>
        </w:tc>
        <w:tc>
          <w:tcPr>
            <w:tcW w:w="7668" w:type="dxa"/>
            <w:vAlign w:val="center"/>
          </w:tcPr>
          <w:p w:rsidR="00963C6B" w:rsidRPr="008A3410" w:rsidRDefault="00963C6B" w:rsidP="00963C6B">
            <w:r w:rsidRPr="008A3410">
              <w:t>Surgical Care Improvement Project</w:t>
            </w:r>
          </w:p>
        </w:tc>
      </w:tr>
      <w:tr w:rsidR="00963C6B" w:rsidRPr="008A3410" w:rsidTr="00963C6B">
        <w:trPr>
          <w:cantSplit/>
          <w:trHeight w:val="432"/>
        </w:trPr>
        <w:tc>
          <w:tcPr>
            <w:tcW w:w="1800" w:type="dxa"/>
            <w:vAlign w:val="center"/>
          </w:tcPr>
          <w:p w:rsidR="00963C6B" w:rsidRPr="008A3410" w:rsidRDefault="00963C6B" w:rsidP="00963C6B">
            <w:r w:rsidRPr="008A3410">
              <w:t>SIR</w:t>
            </w:r>
          </w:p>
        </w:tc>
        <w:tc>
          <w:tcPr>
            <w:tcW w:w="7668" w:type="dxa"/>
            <w:vAlign w:val="center"/>
          </w:tcPr>
          <w:p w:rsidR="00963C6B" w:rsidRPr="008A3410" w:rsidRDefault="00963C6B" w:rsidP="000F01D0">
            <w:r w:rsidRPr="008A3410">
              <w:t>Standardized Infection Ratio (a risk</w:t>
            </w:r>
            <w:r w:rsidR="000F01D0" w:rsidRPr="008A3410">
              <w:t>-</w:t>
            </w:r>
            <w:r w:rsidRPr="008A3410">
              <w:t xml:space="preserve">adjusted </w:t>
            </w:r>
            <w:r w:rsidR="000F01D0" w:rsidRPr="008A3410">
              <w:t xml:space="preserve">method for comparing HAI infection rates to a national baseline.  SIR &gt; 1 indicates an increase in an HAI infection rate compared to </w:t>
            </w:r>
            <w:r w:rsidR="00494C0E" w:rsidRPr="008A3410">
              <w:t>the national baseline.  SIR &lt; 1 indicates a decrease in an HAI infection rate compared to the national baseline.  Each type of HAI infection has its own baseline.  A lower SIR is better.</w:t>
            </w:r>
            <w:r w:rsidRPr="008A3410">
              <w:t>)</w:t>
            </w:r>
          </w:p>
        </w:tc>
      </w:tr>
      <w:tr w:rsidR="00963C6B" w:rsidRPr="008A3410" w:rsidTr="00963C6B">
        <w:trPr>
          <w:cantSplit/>
          <w:trHeight w:val="432"/>
        </w:trPr>
        <w:tc>
          <w:tcPr>
            <w:tcW w:w="1800" w:type="dxa"/>
            <w:vAlign w:val="center"/>
          </w:tcPr>
          <w:p w:rsidR="00963C6B" w:rsidRPr="008A3410" w:rsidRDefault="00963C6B" w:rsidP="00963C6B">
            <w:r w:rsidRPr="008A3410">
              <w:t>SSI</w:t>
            </w:r>
          </w:p>
        </w:tc>
        <w:tc>
          <w:tcPr>
            <w:tcW w:w="7668" w:type="dxa"/>
            <w:vAlign w:val="center"/>
          </w:tcPr>
          <w:p w:rsidR="00963C6B" w:rsidRPr="008A3410" w:rsidRDefault="00963C6B" w:rsidP="00963C6B">
            <w:r w:rsidRPr="008A3410">
              <w:t>Surgical Site Infection (examples:  COLO, HYST)</w:t>
            </w:r>
          </w:p>
        </w:tc>
      </w:tr>
      <w:tr w:rsidR="001F5525" w:rsidRPr="008A3410" w:rsidTr="00963C6B">
        <w:trPr>
          <w:cantSplit/>
          <w:trHeight w:val="432"/>
        </w:trPr>
        <w:tc>
          <w:tcPr>
            <w:tcW w:w="1800" w:type="dxa"/>
            <w:vAlign w:val="center"/>
          </w:tcPr>
          <w:p w:rsidR="001F5525" w:rsidRPr="008A3410" w:rsidRDefault="001F5525" w:rsidP="00963C6B">
            <w:r w:rsidRPr="008A3410">
              <w:t>TST</w:t>
            </w:r>
          </w:p>
        </w:tc>
        <w:tc>
          <w:tcPr>
            <w:tcW w:w="7668" w:type="dxa"/>
            <w:vAlign w:val="center"/>
          </w:tcPr>
          <w:p w:rsidR="001F5525" w:rsidRPr="008A3410" w:rsidRDefault="001F5525" w:rsidP="00963C6B">
            <w:r w:rsidRPr="008A3410">
              <w:t>Tuberculosis Skin Test</w:t>
            </w:r>
          </w:p>
        </w:tc>
      </w:tr>
      <w:tr w:rsidR="00963C6B" w:rsidRPr="008A3410" w:rsidTr="00963C6B">
        <w:trPr>
          <w:cantSplit/>
          <w:trHeight w:val="432"/>
        </w:trPr>
        <w:tc>
          <w:tcPr>
            <w:tcW w:w="1800" w:type="dxa"/>
            <w:vAlign w:val="center"/>
          </w:tcPr>
          <w:p w:rsidR="00963C6B" w:rsidRPr="008A3410" w:rsidRDefault="00963C6B" w:rsidP="00963C6B">
            <w:r w:rsidRPr="008A3410">
              <w:t>VAE</w:t>
            </w:r>
          </w:p>
        </w:tc>
        <w:tc>
          <w:tcPr>
            <w:tcW w:w="7668" w:type="dxa"/>
            <w:vAlign w:val="center"/>
          </w:tcPr>
          <w:p w:rsidR="00963C6B" w:rsidRPr="008A3410" w:rsidRDefault="00963C6B" w:rsidP="00963C6B">
            <w:r w:rsidRPr="008A3410">
              <w:t>Ventilator Associated Event</w:t>
            </w:r>
          </w:p>
        </w:tc>
      </w:tr>
      <w:tr w:rsidR="00963C6B" w:rsidRPr="008A3410" w:rsidTr="00963C6B">
        <w:trPr>
          <w:cantSplit/>
          <w:trHeight w:val="432"/>
        </w:trPr>
        <w:tc>
          <w:tcPr>
            <w:tcW w:w="1800" w:type="dxa"/>
            <w:vAlign w:val="center"/>
          </w:tcPr>
          <w:p w:rsidR="00963C6B" w:rsidRPr="008A3410" w:rsidRDefault="00963C6B" w:rsidP="00963C6B">
            <w:r w:rsidRPr="008A3410">
              <w:t>VAP</w:t>
            </w:r>
          </w:p>
        </w:tc>
        <w:tc>
          <w:tcPr>
            <w:tcW w:w="7668" w:type="dxa"/>
            <w:vAlign w:val="center"/>
          </w:tcPr>
          <w:p w:rsidR="00963C6B" w:rsidRPr="008A3410" w:rsidRDefault="00963C6B" w:rsidP="00963C6B">
            <w:r w:rsidRPr="008A3410">
              <w:t>Ventilator Associated Pneumonia</w:t>
            </w:r>
          </w:p>
        </w:tc>
      </w:tr>
      <w:tr w:rsidR="00963C6B" w:rsidRPr="008A3410" w:rsidTr="00963C6B">
        <w:trPr>
          <w:cantSplit/>
          <w:trHeight w:val="432"/>
        </w:trPr>
        <w:tc>
          <w:tcPr>
            <w:tcW w:w="1800" w:type="dxa"/>
            <w:vAlign w:val="center"/>
          </w:tcPr>
          <w:p w:rsidR="00963C6B" w:rsidRPr="008A3410" w:rsidRDefault="00963C6B" w:rsidP="00963C6B">
            <w:r w:rsidRPr="008A3410">
              <w:t>VRE</w:t>
            </w:r>
          </w:p>
        </w:tc>
        <w:tc>
          <w:tcPr>
            <w:tcW w:w="7668" w:type="dxa"/>
            <w:vAlign w:val="center"/>
          </w:tcPr>
          <w:p w:rsidR="00963C6B" w:rsidRPr="008A3410" w:rsidRDefault="00963C6B" w:rsidP="00963C6B">
            <w:r w:rsidRPr="008A3410">
              <w:t xml:space="preserve">Vancomycin-resistant Enterococcus </w:t>
            </w:r>
          </w:p>
        </w:tc>
      </w:tr>
      <w:tr w:rsidR="00963C6B" w:rsidTr="00963C6B">
        <w:trPr>
          <w:cantSplit/>
          <w:trHeight w:val="432"/>
        </w:trPr>
        <w:tc>
          <w:tcPr>
            <w:tcW w:w="1800" w:type="dxa"/>
            <w:vAlign w:val="center"/>
          </w:tcPr>
          <w:p w:rsidR="00963C6B" w:rsidRPr="008A3410" w:rsidRDefault="00963C6B" w:rsidP="00963C6B">
            <w:r w:rsidRPr="008A3410">
              <w:t>YTD</w:t>
            </w:r>
          </w:p>
        </w:tc>
        <w:tc>
          <w:tcPr>
            <w:tcW w:w="7668" w:type="dxa"/>
            <w:vAlign w:val="center"/>
          </w:tcPr>
          <w:p w:rsidR="00963C6B" w:rsidRDefault="00963C6B" w:rsidP="00963C6B">
            <w:r w:rsidRPr="008A3410">
              <w:t>Year-to-date</w:t>
            </w:r>
          </w:p>
        </w:tc>
      </w:tr>
    </w:tbl>
    <w:p w:rsidR="00823827" w:rsidRDefault="00823827" w:rsidP="00963C6B">
      <w:pPr>
        <w:spacing w:after="120" w:line="240" w:lineRule="auto"/>
      </w:pPr>
    </w:p>
    <w:sectPr w:rsidR="0082382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0B4" w:rsidRDefault="002350B4" w:rsidP="00F00BBD">
      <w:pPr>
        <w:spacing w:after="0" w:line="240" w:lineRule="auto"/>
      </w:pPr>
      <w:r>
        <w:separator/>
      </w:r>
    </w:p>
    <w:p w:rsidR="002350B4" w:rsidRDefault="002350B4"/>
  </w:endnote>
  <w:endnote w:type="continuationSeparator" w:id="0">
    <w:p w:rsidR="002350B4" w:rsidRDefault="002350B4" w:rsidP="00F00BBD">
      <w:pPr>
        <w:spacing w:after="0" w:line="240" w:lineRule="auto"/>
      </w:pPr>
      <w:r>
        <w:continuationSeparator/>
      </w:r>
    </w:p>
    <w:p w:rsidR="002350B4" w:rsidRDefault="00235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BD" w:rsidRDefault="00F00BB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B2052" w:rsidRPr="00EB205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00BBD" w:rsidRDefault="00F00BBD">
    <w:pPr>
      <w:pStyle w:val="Footer"/>
    </w:pPr>
  </w:p>
  <w:p w:rsidR="00633ED4" w:rsidRDefault="00633E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0B4" w:rsidRDefault="002350B4" w:rsidP="00F00BBD">
      <w:pPr>
        <w:spacing w:after="0" w:line="240" w:lineRule="auto"/>
      </w:pPr>
      <w:r>
        <w:separator/>
      </w:r>
    </w:p>
    <w:p w:rsidR="002350B4" w:rsidRDefault="002350B4"/>
  </w:footnote>
  <w:footnote w:type="continuationSeparator" w:id="0">
    <w:p w:rsidR="002350B4" w:rsidRDefault="002350B4" w:rsidP="00F00BBD">
      <w:pPr>
        <w:spacing w:after="0" w:line="240" w:lineRule="auto"/>
      </w:pPr>
      <w:r>
        <w:continuationSeparator/>
      </w:r>
    </w:p>
    <w:p w:rsidR="002350B4" w:rsidRDefault="002350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6ACA7AD9F284ADCB8F4DEB924A8D7F3"/>
      </w:placeholder>
      <w:dataBinding w:prefixMappings="xmlns:ns0='http://schemas.openxmlformats.org/package/2006/metadata/core-properties' xmlns:ns1='http://purl.org/dc/elements/1.1/'" w:xpath="/ns0:coreProperties[1]/ns1:title[1]" w:storeItemID="{6C3C8BC8-F283-45AE-878A-BAB7291924A1}"/>
      <w:text/>
    </w:sdtPr>
    <w:sdtEndPr/>
    <w:sdtContent>
      <w:p w:rsidR="00F00BBD" w:rsidRDefault="00F00BB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Healthcare Associated Infection</w:t>
        </w:r>
        <w:r w:rsidR="001F5525">
          <w:rPr>
            <w:rFonts w:asciiTheme="majorHAnsi" w:eastAsiaTheme="majorEastAsia" w:hAnsiTheme="majorHAnsi" w:cstheme="majorBidi"/>
            <w:sz w:val="32"/>
            <w:szCs w:val="32"/>
          </w:rPr>
          <w:t xml:space="preserve"> Terms &amp;</w:t>
        </w:r>
        <w:r>
          <w:rPr>
            <w:rFonts w:asciiTheme="majorHAnsi" w:eastAsiaTheme="majorEastAsia" w:hAnsiTheme="majorHAnsi" w:cstheme="majorBidi"/>
            <w:sz w:val="32"/>
            <w:szCs w:val="32"/>
          </w:rPr>
          <w:t xml:space="preserve"> Acronyms</w:t>
        </w:r>
      </w:p>
    </w:sdtContent>
  </w:sdt>
  <w:p w:rsidR="00F00BBD" w:rsidRDefault="00F00BBD">
    <w:pPr>
      <w:pStyle w:val="Header"/>
    </w:pPr>
  </w:p>
  <w:p w:rsidR="00633ED4" w:rsidRDefault="00633E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69"/>
    <w:rsid w:val="000F01D0"/>
    <w:rsid w:val="00170D9B"/>
    <w:rsid w:val="001C4C91"/>
    <w:rsid w:val="001F5525"/>
    <w:rsid w:val="00212EFB"/>
    <w:rsid w:val="002350B4"/>
    <w:rsid w:val="0034349F"/>
    <w:rsid w:val="0042221A"/>
    <w:rsid w:val="00494C0E"/>
    <w:rsid w:val="00633ED4"/>
    <w:rsid w:val="00754169"/>
    <w:rsid w:val="00823827"/>
    <w:rsid w:val="008A3410"/>
    <w:rsid w:val="00963C6B"/>
    <w:rsid w:val="00A0107D"/>
    <w:rsid w:val="00BC3DC2"/>
    <w:rsid w:val="00D37526"/>
    <w:rsid w:val="00D54CBD"/>
    <w:rsid w:val="00EB2052"/>
    <w:rsid w:val="00F0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EFB"/>
    <w:rPr>
      <w:color w:val="0000FF" w:themeColor="hyperlink"/>
      <w:u w:val="single"/>
    </w:rPr>
  </w:style>
  <w:style w:type="paragraph" w:styleId="Header">
    <w:name w:val="header"/>
    <w:basedOn w:val="Normal"/>
    <w:link w:val="HeaderChar"/>
    <w:uiPriority w:val="99"/>
    <w:unhideWhenUsed/>
    <w:rsid w:val="00F00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BBD"/>
  </w:style>
  <w:style w:type="paragraph" w:styleId="Footer">
    <w:name w:val="footer"/>
    <w:basedOn w:val="Normal"/>
    <w:link w:val="FooterChar"/>
    <w:uiPriority w:val="99"/>
    <w:unhideWhenUsed/>
    <w:rsid w:val="00F0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BBD"/>
  </w:style>
  <w:style w:type="paragraph" w:styleId="BalloonText">
    <w:name w:val="Balloon Text"/>
    <w:basedOn w:val="Normal"/>
    <w:link w:val="BalloonTextChar"/>
    <w:uiPriority w:val="99"/>
    <w:semiHidden/>
    <w:unhideWhenUsed/>
    <w:rsid w:val="00F00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BBD"/>
    <w:rPr>
      <w:rFonts w:ascii="Tahoma" w:hAnsi="Tahoma" w:cs="Tahoma"/>
      <w:sz w:val="16"/>
      <w:szCs w:val="16"/>
    </w:rPr>
  </w:style>
  <w:style w:type="table" w:styleId="TableGrid">
    <w:name w:val="Table Grid"/>
    <w:basedOn w:val="TableNormal"/>
    <w:uiPriority w:val="59"/>
    <w:rsid w:val="0096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EFB"/>
    <w:rPr>
      <w:color w:val="0000FF" w:themeColor="hyperlink"/>
      <w:u w:val="single"/>
    </w:rPr>
  </w:style>
  <w:style w:type="paragraph" w:styleId="Header">
    <w:name w:val="header"/>
    <w:basedOn w:val="Normal"/>
    <w:link w:val="HeaderChar"/>
    <w:uiPriority w:val="99"/>
    <w:unhideWhenUsed/>
    <w:rsid w:val="00F00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BBD"/>
  </w:style>
  <w:style w:type="paragraph" w:styleId="Footer">
    <w:name w:val="footer"/>
    <w:basedOn w:val="Normal"/>
    <w:link w:val="FooterChar"/>
    <w:uiPriority w:val="99"/>
    <w:unhideWhenUsed/>
    <w:rsid w:val="00F00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BBD"/>
  </w:style>
  <w:style w:type="paragraph" w:styleId="BalloonText">
    <w:name w:val="Balloon Text"/>
    <w:basedOn w:val="Normal"/>
    <w:link w:val="BalloonTextChar"/>
    <w:uiPriority w:val="99"/>
    <w:semiHidden/>
    <w:unhideWhenUsed/>
    <w:rsid w:val="00F00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BBD"/>
    <w:rPr>
      <w:rFonts w:ascii="Tahoma" w:hAnsi="Tahoma" w:cs="Tahoma"/>
      <w:sz w:val="16"/>
      <w:szCs w:val="16"/>
    </w:rPr>
  </w:style>
  <w:style w:type="table" w:styleId="TableGrid">
    <w:name w:val="Table Grid"/>
    <w:basedOn w:val="TableNormal"/>
    <w:uiPriority w:val="59"/>
    <w:rsid w:val="0096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people.gov"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cste.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h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ACA7AD9F284ADCB8F4DEB924A8D7F3"/>
        <w:category>
          <w:name w:val="General"/>
          <w:gallery w:val="placeholder"/>
        </w:category>
        <w:types>
          <w:type w:val="bbPlcHdr"/>
        </w:types>
        <w:behaviors>
          <w:behavior w:val="content"/>
        </w:behaviors>
        <w:guid w:val="{6FF9C5E9-2559-4019-A61E-9A942B2A9D06}"/>
      </w:docPartPr>
      <w:docPartBody>
        <w:p w:rsidR="005D1136" w:rsidRDefault="001D7348" w:rsidP="001D7348">
          <w:pPr>
            <w:pStyle w:val="46ACA7AD9F284ADCB8F4DEB924A8D7F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348"/>
    <w:rsid w:val="001D7348"/>
    <w:rsid w:val="005D1136"/>
    <w:rsid w:val="00E9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ACA7AD9F284ADCB8F4DEB924A8D7F3">
    <w:name w:val="46ACA7AD9F284ADCB8F4DEB924A8D7F3"/>
    <w:rsid w:val="001D7348"/>
  </w:style>
  <w:style w:type="paragraph" w:customStyle="1" w:styleId="7953477B8B12427DAD8296C10CBA2C05">
    <w:name w:val="7953477B8B12427DAD8296C10CBA2C05"/>
    <w:rsid w:val="001D734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ACA7AD9F284ADCB8F4DEB924A8D7F3">
    <w:name w:val="46ACA7AD9F284ADCB8F4DEB924A8D7F3"/>
    <w:rsid w:val="001D7348"/>
  </w:style>
  <w:style w:type="paragraph" w:customStyle="1" w:styleId="7953477B8B12427DAD8296C10CBA2C05">
    <w:name w:val="7953477B8B12427DAD8296C10CBA2C05"/>
    <w:rsid w:val="001D7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Healthcare Associated Infection Terms &amp; Acronyms</vt:lpstr>
    </vt:vector>
  </TitlesOfParts>
  <Company>State of Maine</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Associated Infection Terms &amp; Acronyms</dc:title>
  <dc:creator>Owsiak, Rita</dc:creator>
  <cp:lastModifiedBy>Jenny</cp:lastModifiedBy>
  <cp:revision>2</cp:revision>
  <dcterms:created xsi:type="dcterms:W3CDTF">2015-03-06T12:45:00Z</dcterms:created>
  <dcterms:modified xsi:type="dcterms:W3CDTF">2015-03-06T12:45:00Z</dcterms:modified>
</cp:coreProperties>
</file>