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89" w:rsidRDefault="005B1489">
      <w:bookmarkStart w:id="0" w:name="_GoBack"/>
      <w:bookmarkEnd w:id="0"/>
    </w:p>
    <w:p w:rsidR="000558E0" w:rsidRDefault="000558E0"/>
    <w:p w:rsidR="00313E50" w:rsidRDefault="00673CAA">
      <w:r>
        <w:rPr>
          <w:noProof/>
        </w:rPr>
        <mc:AlternateContent>
          <mc:Choice Requires="wps">
            <w:drawing>
              <wp:anchor distT="0" distB="0" distL="114300" distR="114300" simplePos="0" relativeHeight="251686912" behindDoc="0" locked="0" layoutInCell="1" allowOverlap="1" wp14:anchorId="5E54DB63" wp14:editId="787140AA">
                <wp:simplePos x="0" y="0"/>
                <wp:positionH relativeFrom="column">
                  <wp:posOffset>1318260</wp:posOffset>
                </wp:positionH>
                <wp:positionV relativeFrom="paragraph">
                  <wp:posOffset>2607310</wp:posOffset>
                </wp:positionV>
                <wp:extent cx="3284220" cy="14173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417320"/>
                        </a:xfrm>
                        <a:prstGeom prst="rect">
                          <a:avLst/>
                        </a:prstGeom>
                        <a:noFill/>
                        <a:ln w="0">
                          <a:noFill/>
                          <a:miter lim="800000"/>
                          <a:headEnd/>
                          <a:tailEnd/>
                        </a:ln>
                      </wps:spPr>
                      <wps:txbx>
                        <w:txbxContent>
                          <w:p w:rsidR="00313E50" w:rsidRPr="00673CAA" w:rsidRDefault="00313E50" w:rsidP="00673CAA">
                            <w:pPr>
                              <w:spacing w:after="0"/>
                              <w:jc w:val="center"/>
                              <w:rPr>
                                <w:b/>
                                <w:sz w:val="72"/>
                                <w:szCs w:val="72"/>
                              </w:rPr>
                            </w:pPr>
                            <w:r w:rsidRPr="00673CAA">
                              <w:rPr>
                                <w:b/>
                                <w:sz w:val="72"/>
                                <w:szCs w:val="72"/>
                              </w:rPr>
                              <w:t>Maine HAI Plan</w:t>
                            </w:r>
                          </w:p>
                          <w:p w:rsidR="00313E50" w:rsidRPr="00673CAA" w:rsidRDefault="00313E50" w:rsidP="00673CAA">
                            <w:pPr>
                              <w:spacing w:after="0"/>
                              <w:jc w:val="center"/>
                              <w:rPr>
                                <w:b/>
                                <w:sz w:val="72"/>
                                <w:szCs w:val="72"/>
                              </w:rPr>
                            </w:pPr>
                            <w:r w:rsidRPr="00673CAA">
                              <w:rPr>
                                <w:b/>
                                <w:sz w:val="72"/>
                                <w:szCs w:val="72"/>
                              </w:rPr>
                              <w:t>2016-2018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4DB63" id="_x0000_t202" coordsize="21600,21600" o:spt="202" path="m,l,21600r21600,l21600,xe">
                <v:stroke joinstyle="miter"/>
                <v:path gradientshapeok="t" o:connecttype="rect"/>
              </v:shapetype>
              <v:shape id="Text Box 2" o:spid="_x0000_s1026" type="#_x0000_t202" style="position:absolute;margin-left:103.8pt;margin-top:205.3pt;width:258.6pt;height:11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" filled="f" stroked="f" strokeweight="0">
                <v:textbox>
                  <w:txbxContent>
                    <w:p w:rsidR="00313E50" w:rsidRPr="00673CAA" w:rsidRDefault="00313E50" w:rsidP="00673CAA">
                      <w:pPr>
                        <w:spacing w:after="0"/>
                        <w:jc w:val="center"/>
                        <w:rPr>
                          <w:b/>
                          <w:sz w:val="72"/>
                          <w:szCs w:val="72"/>
                        </w:rPr>
                      </w:pPr>
                      <w:r w:rsidRPr="00673CAA">
                        <w:rPr>
                          <w:b/>
                          <w:sz w:val="72"/>
                          <w:szCs w:val="72"/>
                        </w:rPr>
                        <w:t>Maine HAI Plan</w:t>
                      </w:r>
                    </w:p>
                    <w:p w:rsidR="00313E50" w:rsidRPr="00673CAA" w:rsidRDefault="00313E50" w:rsidP="00673CAA">
                      <w:pPr>
                        <w:spacing w:after="0"/>
                        <w:jc w:val="center"/>
                        <w:rPr>
                          <w:b/>
                          <w:sz w:val="72"/>
                          <w:szCs w:val="72"/>
                        </w:rPr>
                      </w:pPr>
                      <w:r w:rsidRPr="00673CAA">
                        <w:rPr>
                          <w:b/>
                          <w:sz w:val="72"/>
                          <w:szCs w:val="72"/>
                        </w:rPr>
                        <w:t>2016-2018</w:t>
                      </w:r>
                    </w:p>
                  </w:txbxContent>
                </v:textbox>
              </v:shape>
            </w:pict>
          </mc:Fallback>
        </mc:AlternateContent>
      </w:r>
      <w:r>
        <w:rPr>
          <w:rFonts w:ascii="Arial" w:hAnsi="Arial" w:cs="Arial"/>
          <w:noProof/>
          <w:color w:val="666666"/>
          <w:sz w:val="18"/>
          <w:szCs w:val="18"/>
        </w:rPr>
        <w:drawing>
          <wp:inline distT="0" distB="0" distL="0" distR="0" wp14:anchorId="01F0B244" wp14:editId="09F3857E">
            <wp:extent cx="6149340" cy="6149340"/>
            <wp:effectExtent l="0" t="0" r="3810" b="3810"/>
            <wp:docPr id="8" name="TB_Image" descr="Teacher State of Maine Outline Map Rubber Stamp">
              <a:hlinkClick xmlns:a="http://schemas.openxmlformats.org/drawingml/2006/main" r:id="" tooltip="Clo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Teacher State of Maine Outline Map Rubber Stamp">
                      <a:hlinkClick r:id="" tooltip="Clos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9340" cy="6149340"/>
                    </a:xfrm>
                    <a:prstGeom prst="rect">
                      <a:avLst/>
                    </a:prstGeom>
                    <a:noFill/>
                    <a:ln>
                      <a:noFill/>
                    </a:ln>
                  </pic:spPr>
                </pic:pic>
              </a:graphicData>
            </a:graphic>
          </wp:inline>
        </w:drawing>
      </w:r>
      <w:r w:rsidR="00313E50">
        <w:br w:type="page"/>
      </w:r>
    </w:p>
    <w:p w:rsidR="00A12A29" w:rsidRDefault="000558E0">
      <w:pPr>
        <w:rPr>
          <w:b/>
          <w:sz w:val="28"/>
          <w:szCs w:val="28"/>
        </w:rPr>
      </w:pPr>
      <w:r w:rsidRPr="00313E50">
        <w:rPr>
          <w:b/>
          <w:sz w:val="28"/>
          <w:szCs w:val="28"/>
        </w:rPr>
        <w:lastRenderedPageBreak/>
        <w:t>Introduction:</w:t>
      </w:r>
    </w:p>
    <w:p w:rsidR="008C3ACA" w:rsidRDefault="00756D34" w:rsidP="00756D34">
      <w:pPr>
        <w:spacing w:after="0"/>
        <w:rPr>
          <w:sz w:val="24"/>
          <w:szCs w:val="24"/>
        </w:rPr>
      </w:pPr>
      <w:r>
        <w:rPr>
          <w:sz w:val="24"/>
          <w:szCs w:val="24"/>
        </w:rPr>
        <w:t xml:space="preserve">In response to the continuing concerns about the public health impact of healthcare-associated infections (HAI), the Maine Department of Health and Human Services (DHHS) Maine Center for Disease Control and Prevention (Maine CDC) and </w:t>
      </w:r>
      <w:r w:rsidR="00C91A1D">
        <w:rPr>
          <w:sz w:val="24"/>
          <w:szCs w:val="24"/>
        </w:rPr>
        <w:t xml:space="preserve">the </w:t>
      </w:r>
      <w:r>
        <w:rPr>
          <w:sz w:val="24"/>
          <w:szCs w:val="24"/>
        </w:rPr>
        <w:t>Collaborative Partners state HAI advisory council ha</w:t>
      </w:r>
      <w:r w:rsidR="00C91A1D">
        <w:rPr>
          <w:sz w:val="24"/>
          <w:szCs w:val="24"/>
        </w:rPr>
        <w:t>ve</w:t>
      </w:r>
      <w:r>
        <w:rPr>
          <w:sz w:val="24"/>
          <w:szCs w:val="24"/>
        </w:rPr>
        <w:t xml:space="preserve"> updated the Maine HAI Plan in order to outline improvement activities for the current year and next three years.</w:t>
      </w:r>
    </w:p>
    <w:p w:rsidR="00756D34" w:rsidRDefault="00756D34" w:rsidP="00756D34">
      <w:pPr>
        <w:spacing w:after="0"/>
        <w:rPr>
          <w:sz w:val="24"/>
          <w:szCs w:val="24"/>
        </w:rPr>
      </w:pPr>
    </w:p>
    <w:p w:rsidR="00880DEC" w:rsidRDefault="00880DEC" w:rsidP="00756D34">
      <w:pPr>
        <w:spacing w:after="0"/>
        <w:rPr>
          <w:sz w:val="24"/>
          <w:szCs w:val="24"/>
        </w:rPr>
      </w:pPr>
    </w:p>
    <w:p w:rsidR="00756D34" w:rsidRDefault="00CF4220" w:rsidP="00756D34">
      <w:pPr>
        <w:spacing w:after="0"/>
        <w:rPr>
          <w:sz w:val="24"/>
          <w:szCs w:val="24"/>
        </w:rPr>
      </w:pPr>
      <w:r>
        <w:rPr>
          <w:sz w:val="24"/>
          <w:szCs w:val="24"/>
        </w:rPr>
        <w:t>The initial focus</w:t>
      </w:r>
      <w:r w:rsidR="00756D34">
        <w:rPr>
          <w:sz w:val="24"/>
          <w:szCs w:val="24"/>
        </w:rPr>
        <w:t xml:space="preserve"> for</w:t>
      </w:r>
      <w:r>
        <w:rPr>
          <w:sz w:val="24"/>
          <w:szCs w:val="24"/>
        </w:rPr>
        <w:t xml:space="preserve"> HAI prevention activities in Maine has primarily been</w:t>
      </w:r>
      <w:r w:rsidR="00756D34">
        <w:rPr>
          <w:sz w:val="24"/>
          <w:szCs w:val="24"/>
        </w:rPr>
        <w:t xml:space="preserve"> on the acute care hospital</w:t>
      </w:r>
      <w:r>
        <w:rPr>
          <w:sz w:val="24"/>
          <w:szCs w:val="24"/>
        </w:rPr>
        <w:t>s</w:t>
      </w:r>
      <w:r w:rsidR="00756D34">
        <w:rPr>
          <w:sz w:val="24"/>
          <w:szCs w:val="24"/>
        </w:rPr>
        <w:t>.  Over the next three y</w:t>
      </w:r>
      <w:r>
        <w:rPr>
          <w:sz w:val="24"/>
          <w:szCs w:val="24"/>
        </w:rPr>
        <w:t xml:space="preserve">ears, efforts will </w:t>
      </w:r>
      <w:r w:rsidR="00756D34">
        <w:rPr>
          <w:sz w:val="24"/>
          <w:szCs w:val="24"/>
        </w:rPr>
        <w:t>expa</w:t>
      </w:r>
      <w:r>
        <w:rPr>
          <w:sz w:val="24"/>
          <w:szCs w:val="24"/>
        </w:rPr>
        <w:t>nd to be more inclusive of</w:t>
      </w:r>
      <w:r w:rsidR="00756D34">
        <w:rPr>
          <w:sz w:val="24"/>
          <w:szCs w:val="24"/>
        </w:rPr>
        <w:t xml:space="preserve"> extended care and ambulatory care </w:t>
      </w:r>
      <w:r>
        <w:rPr>
          <w:sz w:val="24"/>
          <w:szCs w:val="24"/>
        </w:rPr>
        <w:t xml:space="preserve">healthcare </w:t>
      </w:r>
      <w:r w:rsidR="00756D34">
        <w:rPr>
          <w:sz w:val="24"/>
          <w:szCs w:val="24"/>
        </w:rPr>
        <w:t xml:space="preserve">settings.  </w:t>
      </w:r>
    </w:p>
    <w:p w:rsidR="00756D34" w:rsidRDefault="00756D34" w:rsidP="00756D34">
      <w:pPr>
        <w:spacing w:after="0"/>
        <w:rPr>
          <w:sz w:val="24"/>
          <w:szCs w:val="24"/>
        </w:rPr>
      </w:pPr>
    </w:p>
    <w:p w:rsidR="008B608C" w:rsidRDefault="008B608C" w:rsidP="00756D34">
      <w:pPr>
        <w:spacing w:after="0"/>
        <w:rPr>
          <w:sz w:val="24"/>
          <w:szCs w:val="24"/>
        </w:rPr>
      </w:pPr>
    </w:p>
    <w:p w:rsidR="008B608C" w:rsidRDefault="008B608C" w:rsidP="00756D34">
      <w:pPr>
        <w:spacing w:after="0"/>
        <w:rPr>
          <w:sz w:val="24"/>
          <w:szCs w:val="24"/>
        </w:rPr>
      </w:pPr>
    </w:p>
    <w:p w:rsidR="008B608C" w:rsidRDefault="008B608C" w:rsidP="00756D34">
      <w:pPr>
        <w:spacing w:after="0"/>
        <w:rPr>
          <w:sz w:val="24"/>
          <w:szCs w:val="24"/>
        </w:rPr>
      </w:pPr>
    </w:p>
    <w:p w:rsidR="00275BC3" w:rsidRDefault="00275BC3" w:rsidP="00756D34">
      <w:pPr>
        <w:spacing w:after="0"/>
        <w:rPr>
          <w:sz w:val="24"/>
          <w:szCs w:val="24"/>
        </w:rPr>
      </w:pPr>
    </w:p>
    <w:p w:rsidR="00756D34" w:rsidRDefault="00756D34" w:rsidP="00756D34">
      <w:pPr>
        <w:spacing w:after="0"/>
        <w:rPr>
          <w:sz w:val="24"/>
          <w:szCs w:val="24"/>
        </w:rPr>
      </w:pPr>
    </w:p>
    <w:p w:rsidR="008C3ACA" w:rsidRDefault="008C3ACA" w:rsidP="00756D34">
      <w:pPr>
        <w:spacing w:after="0"/>
        <w:rPr>
          <w:sz w:val="24"/>
          <w:szCs w:val="24"/>
        </w:rPr>
      </w:pPr>
    </w:p>
    <w:p w:rsidR="008C3ACA" w:rsidRDefault="008C3ACA" w:rsidP="00756D34">
      <w:pPr>
        <w:spacing w:after="0"/>
        <w:rPr>
          <w:sz w:val="24"/>
          <w:szCs w:val="24"/>
        </w:rPr>
      </w:pPr>
    </w:p>
    <w:p w:rsidR="000558E0" w:rsidRPr="00313E50" w:rsidRDefault="000558E0" w:rsidP="00756D34">
      <w:pPr>
        <w:spacing w:after="0"/>
        <w:rPr>
          <w:b/>
          <w:sz w:val="28"/>
          <w:szCs w:val="28"/>
        </w:rPr>
      </w:pPr>
      <w:r w:rsidRPr="00313E50">
        <w:rPr>
          <w:b/>
          <w:sz w:val="28"/>
          <w:szCs w:val="28"/>
        </w:rPr>
        <w:br w:type="page"/>
      </w:r>
    </w:p>
    <w:p w:rsidR="00725D2F" w:rsidRDefault="009D3EFF">
      <w:r>
        <w:rPr>
          <w:noProof/>
        </w:rPr>
        <w:lastRenderedPageBreak/>
        <mc:AlternateContent>
          <mc:Choice Requires="wps">
            <w:drawing>
              <wp:anchor distT="0" distB="0" distL="114300" distR="114300" simplePos="0" relativeHeight="251683840" behindDoc="1" locked="0" layoutInCell="1" allowOverlap="1" wp14:anchorId="53340147" wp14:editId="0D21EE1E">
                <wp:simplePos x="0" y="0"/>
                <wp:positionH relativeFrom="column">
                  <wp:posOffset>-274320</wp:posOffset>
                </wp:positionH>
                <wp:positionV relativeFrom="paragraph">
                  <wp:posOffset>-144780</wp:posOffset>
                </wp:positionV>
                <wp:extent cx="6705600" cy="1165860"/>
                <wp:effectExtent l="0" t="0" r="19050" b="15240"/>
                <wp:wrapTight wrapText="bothSides">
                  <wp:wrapPolygon edited="0">
                    <wp:start x="0" y="0"/>
                    <wp:lineTo x="0" y="21529"/>
                    <wp:lineTo x="21600" y="21529"/>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705600" cy="1165860"/>
                        </a:xfrm>
                        <a:prstGeom prst="rect">
                          <a:avLst/>
                        </a:prstGeom>
                        <a:solidFill>
                          <a:sysClr val="window" lastClr="FFFFFF"/>
                        </a:solidFill>
                        <a:ln w="25400" cap="flat" cmpd="sng" algn="ctr">
                          <a:solidFill>
                            <a:srgbClr val="4F81BD">
                              <a:shade val="50000"/>
                            </a:srgbClr>
                          </a:solidFill>
                          <a:prstDash val="solid"/>
                        </a:ln>
                        <a:effectLst/>
                      </wps:spPr>
                      <wps:txbx>
                        <w:txbxContent>
                          <w:p w:rsidR="00725D2F" w:rsidRDefault="00725D2F" w:rsidP="00725D2F">
                            <w:pPr>
                              <w:shd w:val="clear" w:color="auto" w:fill="FFFFFF" w:themeFill="background1"/>
                              <w:spacing w:after="0"/>
                              <w:jc w:val="center"/>
                              <w:rPr>
                                <w:b/>
                                <w:u w:val="single"/>
                              </w:rPr>
                            </w:pPr>
                            <w:r>
                              <w:rPr>
                                <w:b/>
                                <w:u w:val="single"/>
                              </w:rPr>
                              <w:t>Purpose</w:t>
                            </w:r>
                          </w:p>
                          <w:p w:rsidR="00CF4220" w:rsidRPr="00A31F36" w:rsidRDefault="00CF4220" w:rsidP="0082606C">
                            <w:pPr>
                              <w:shd w:val="clear" w:color="auto" w:fill="FFFFFF" w:themeFill="background1"/>
                              <w:spacing w:after="0"/>
                              <w:jc w:val="center"/>
                            </w:pPr>
                            <w:r>
                              <w:t>Work across the continuum of</w:t>
                            </w:r>
                            <w:r w:rsidR="00B72578">
                              <w:t xml:space="preserve"> healthcare settings to</w:t>
                            </w:r>
                            <w:r w:rsidR="0082606C">
                              <w:t xml:space="preserve"> </w:t>
                            </w:r>
                            <w:r w:rsidR="00B72578">
                              <w:t>r</w:t>
                            </w:r>
                            <w:r w:rsidR="000E2397">
                              <w:t>espond to outbreak</w:t>
                            </w:r>
                            <w:r w:rsidR="00B72578">
                              <w:t>s and emerg</w:t>
                            </w:r>
                            <w:r>
                              <w:t>ing pathogen t</w:t>
                            </w:r>
                            <w:r w:rsidR="0082606C">
                              <w:t xml:space="preserve">hreats; </w:t>
                            </w:r>
                            <w:r w:rsidR="00B72578">
                              <w:t>a</w:t>
                            </w:r>
                            <w:r w:rsidR="000E2397">
                              <w:t xml:space="preserve">nalyze data in order to </w:t>
                            </w:r>
                            <w:r>
                              <w:t>guide prevention activities</w:t>
                            </w:r>
                            <w:r w:rsidR="0082606C">
                              <w:t xml:space="preserve">; </w:t>
                            </w:r>
                            <w:r>
                              <w:t>prevention future HAIs through collaborative and targeted improvement efforts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40147" id="Rectangle 1" o:spid="_x0000_s1027" style="position:absolute;margin-left:-21.6pt;margin-top:-11.4pt;width:528pt;height:9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" fillcolor="window" strokecolor="#385d8a" strokeweight="2pt">
                <v:textbox>
                  <w:txbxContent>
                    <w:p w:rsidR="00725D2F" w:rsidRDefault="00725D2F" w:rsidP="00725D2F">
                      <w:pPr>
                        <w:shd w:val="clear" w:color="auto" w:fill="FFFFFF" w:themeFill="background1"/>
                        <w:spacing w:after="0"/>
                        <w:jc w:val="center"/>
                        <w:rPr>
                          <w:b/>
                          <w:u w:val="single"/>
                        </w:rPr>
                      </w:pPr>
                      <w:r>
                        <w:rPr>
                          <w:b/>
                          <w:u w:val="single"/>
                        </w:rPr>
                        <w:t>Purpose</w:t>
                      </w:r>
                    </w:p>
                    <w:p w:rsidR="00CF4220" w:rsidRPr="00A31F36" w:rsidRDefault="00CF4220" w:rsidP="0082606C">
                      <w:pPr>
                        <w:shd w:val="clear" w:color="auto" w:fill="FFFFFF" w:themeFill="background1"/>
                        <w:spacing w:after="0"/>
                        <w:jc w:val="center"/>
                      </w:pPr>
                      <w:r>
                        <w:t>Work across the continuum of</w:t>
                      </w:r>
                      <w:r w:rsidR="00B72578">
                        <w:t xml:space="preserve"> healthcare settings to</w:t>
                      </w:r>
                      <w:r w:rsidR="0082606C">
                        <w:t xml:space="preserve"> </w:t>
                      </w:r>
                      <w:r w:rsidR="00B72578">
                        <w:t>r</w:t>
                      </w:r>
                      <w:r w:rsidR="000E2397">
                        <w:t>espond to outbreak</w:t>
                      </w:r>
                      <w:r w:rsidR="00B72578">
                        <w:t>s and emerg</w:t>
                      </w:r>
                      <w:r>
                        <w:t>ing pathogen t</w:t>
                      </w:r>
                      <w:r w:rsidR="0082606C">
                        <w:t xml:space="preserve">hreats; </w:t>
                      </w:r>
                      <w:r w:rsidR="00B72578">
                        <w:t>a</w:t>
                      </w:r>
                      <w:r w:rsidR="000E2397">
                        <w:t xml:space="preserve">nalyze data in order to </w:t>
                      </w:r>
                      <w:r>
                        <w:t>guide prevention activities</w:t>
                      </w:r>
                      <w:r w:rsidR="0082606C">
                        <w:t xml:space="preserve">; </w:t>
                      </w:r>
                      <w:r>
                        <w:t>prevention future HAIs through collaborative and targeted improvement efforts</w:t>
                      </w:r>
                    </w:p>
                  </w:txbxContent>
                </v:textbox>
                <w10:wrap type="tight"/>
              </v:rect>
            </w:pict>
          </mc:Fallback>
        </mc:AlternateContent>
      </w:r>
    </w:p>
    <w:p w:rsidR="000558E0" w:rsidRDefault="00725D2F">
      <w:r>
        <w:rPr>
          <w:noProof/>
        </w:rPr>
        <mc:AlternateContent>
          <mc:Choice Requires="wps">
            <w:drawing>
              <wp:anchor distT="0" distB="0" distL="114300" distR="114300" simplePos="0" relativeHeight="251684864" behindDoc="0" locked="0" layoutInCell="1" allowOverlap="1" wp14:anchorId="1E3EA16E" wp14:editId="63C3A864">
                <wp:simplePos x="0" y="0"/>
                <wp:positionH relativeFrom="column">
                  <wp:posOffset>1402080</wp:posOffset>
                </wp:positionH>
                <wp:positionV relativeFrom="paragraph">
                  <wp:posOffset>36830</wp:posOffset>
                </wp:positionV>
                <wp:extent cx="3406140" cy="3162300"/>
                <wp:effectExtent l="0" t="0" r="22860" b="19050"/>
                <wp:wrapNone/>
                <wp:docPr id="3" name="Oval 3"/>
                <wp:cNvGraphicFramePr/>
                <a:graphic xmlns:a="http://schemas.openxmlformats.org/drawingml/2006/main">
                  <a:graphicData uri="http://schemas.microsoft.com/office/word/2010/wordprocessingShape">
                    <wps:wsp>
                      <wps:cNvSpPr/>
                      <wps:spPr>
                        <a:xfrm>
                          <a:off x="0" y="0"/>
                          <a:ext cx="3406140" cy="31623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C4291" w:rsidRDefault="000E2397" w:rsidP="008C4291">
                            <w:pPr>
                              <w:jc w:val="center"/>
                              <w:rPr>
                                <w:b/>
                                <w:color w:val="000000" w:themeColor="text1"/>
                                <w:u w:val="single"/>
                              </w:rPr>
                            </w:pPr>
                            <w:r>
                              <w:rPr>
                                <w:b/>
                                <w:color w:val="000000" w:themeColor="text1"/>
                                <w:u w:val="single"/>
                              </w:rPr>
                              <w:t>RESPOND</w:t>
                            </w:r>
                          </w:p>
                          <w:p w:rsidR="00721AD4" w:rsidRDefault="00721AD4" w:rsidP="008C4291">
                            <w:pPr>
                              <w:jc w:val="center"/>
                              <w:rPr>
                                <w:color w:val="000000" w:themeColor="text1"/>
                              </w:rPr>
                            </w:pPr>
                            <w:r>
                              <w:rPr>
                                <w:color w:val="000000" w:themeColor="text1"/>
                              </w:rPr>
                              <w:t>Detect, investigate, control and prevent HAI-related outbreaks</w:t>
                            </w:r>
                          </w:p>
                          <w:p w:rsidR="00721AD4" w:rsidRPr="00721AD4" w:rsidRDefault="00721AD4" w:rsidP="008C4291">
                            <w:pPr>
                              <w:jc w:val="center"/>
                              <w:rPr>
                                <w:color w:val="000000" w:themeColor="text1"/>
                              </w:rPr>
                            </w:pPr>
                            <w:r>
                              <w:rPr>
                                <w:color w:val="000000" w:themeColor="text1"/>
                              </w:rPr>
                              <w:t>Ensure preparedness for emerging pathogens, especially those needing enhanced precautions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EA16E" id="Oval 3" o:spid="_x0000_s1028" style="position:absolute;margin-left:110.4pt;margin-top:2.9pt;width:268.2pt;height:2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" fillcolor="white [3212]" strokecolor="#243f60 [1604]" strokeweight="2pt">
                <v:textbox>
                  <w:txbxContent>
                    <w:p w:rsidR="008C4291" w:rsidRDefault="000E2397" w:rsidP="008C4291">
                      <w:pPr>
                        <w:jc w:val="center"/>
                        <w:rPr>
                          <w:b/>
                          <w:color w:val="000000" w:themeColor="text1"/>
                          <w:u w:val="single"/>
                        </w:rPr>
                      </w:pPr>
                      <w:r>
                        <w:rPr>
                          <w:b/>
                          <w:color w:val="000000" w:themeColor="text1"/>
                          <w:u w:val="single"/>
                        </w:rPr>
                        <w:t>RESPOND</w:t>
                      </w:r>
                    </w:p>
                    <w:p w:rsidR="00721AD4" w:rsidRDefault="00721AD4" w:rsidP="008C4291">
                      <w:pPr>
                        <w:jc w:val="center"/>
                        <w:rPr>
                          <w:color w:val="000000" w:themeColor="text1"/>
                        </w:rPr>
                      </w:pPr>
                      <w:r>
                        <w:rPr>
                          <w:color w:val="000000" w:themeColor="text1"/>
                        </w:rPr>
                        <w:t>Detect, investigate, control and prevent HAI-related outbreaks</w:t>
                      </w:r>
                    </w:p>
                    <w:p w:rsidR="00721AD4" w:rsidRPr="00721AD4" w:rsidRDefault="00721AD4" w:rsidP="008C4291">
                      <w:pPr>
                        <w:jc w:val="center"/>
                        <w:rPr>
                          <w:color w:val="000000" w:themeColor="text1"/>
                        </w:rPr>
                      </w:pPr>
                      <w:r>
                        <w:rPr>
                          <w:color w:val="000000" w:themeColor="text1"/>
                        </w:rPr>
                        <w:t>Ensure preparedness for emerging pathogens, especially those needing enhanced precautions</w:t>
                      </w:r>
                    </w:p>
                  </w:txbxContent>
                </v:textbox>
              </v:oval>
            </w:pict>
          </mc:Fallback>
        </mc:AlternateContent>
      </w:r>
    </w:p>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Default="00725D2F" w:rsidP="000558E0">
      <w:r>
        <w:rPr>
          <w:noProof/>
        </w:rPr>
        <mc:AlternateContent>
          <mc:Choice Requires="wps">
            <w:drawing>
              <wp:anchor distT="0" distB="0" distL="114300" distR="114300" simplePos="0" relativeHeight="251672576" behindDoc="0" locked="0" layoutInCell="1" allowOverlap="1" wp14:anchorId="641FDD57" wp14:editId="357B4AB7">
                <wp:simplePos x="0" y="0"/>
                <wp:positionH relativeFrom="column">
                  <wp:posOffset>2788920</wp:posOffset>
                </wp:positionH>
                <wp:positionV relativeFrom="paragraph">
                  <wp:posOffset>228600</wp:posOffset>
                </wp:positionV>
                <wp:extent cx="3467100" cy="3208020"/>
                <wp:effectExtent l="0" t="0" r="19050" b="11430"/>
                <wp:wrapNone/>
                <wp:docPr id="6" name="Oval 6"/>
                <wp:cNvGraphicFramePr/>
                <a:graphic xmlns:a="http://schemas.openxmlformats.org/drawingml/2006/main">
                  <a:graphicData uri="http://schemas.microsoft.com/office/word/2010/wordprocessingShape">
                    <wps:wsp>
                      <wps:cNvSpPr/>
                      <wps:spPr>
                        <a:xfrm>
                          <a:off x="0" y="0"/>
                          <a:ext cx="3467100" cy="3208020"/>
                        </a:xfrm>
                        <a:prstGeom prst="ellipse">
                          <a:avLst/>
                        </a:prstGeom>
                        <a:solidFill>
                          <a:sysClr val="window" lastClr="FFFFFF"/>
                        </a:solidFill>
                        <a:ln w="25400" cap="flat" cmpd="sng" algn="ctr">
                          <a:solidFill>
                            <a:srgbClr val="4F81BD">
                              <a:shade val="50000"/>
                            </a:srgbClr>
                          </a:solidFill>
                          <a:prstDash val="solid"/>
                        </a:ln>
                        <a:effectLst/>
                      </wps:spPr>
                      <wps:txbx>
                        <w:txbxContent>
                          <w:p w:rsidR="00725D2F" w:rsidRDefault="00725D2F" w:rsidP="00A81FA1">
                            <w:pPr>
                              <w:spacing w:after="0"/>
                              <w:jc w:val="center"/>
                              <w:rPr>
                                <w:b/>
                                <w:color w:val="000000" w:themeColor="text1"/>
                                <w:u w:val="single"/>
                              </w:rPr>
                            </w:pPr>
                          </w:p>
                          <w:p w:rsidR="00A81FA1" w:rsidRDefault="000E2397" w:rsidP="00721AD4">
                            <w:pPr>
                              <w:jc w:val="center"/>
                              <w:rPr>
                                <w:b/>
                                <w:color w:val="000000" w:themeColor="text1"/>
                                <w:u w:val="single"/>
                              </w:rPr>
                            </w:pPr>
                            <w:r>
                              <w:rPr>
                                <w:b/>
                                <w:color w:val="000000" w:themeColor="text1"/>
                                <w:u w:val="single"/>
                              </w:rPr>
                              <w:t>PREVENT</w:t>
                            </w:r>
                          </w:p>
                          <w:p w:rsidR="00A44279" w:rsidRDefault="00B72578" w:rsidP="00721AD4">
                            <w:pPr>
                              <w:jc w:val="center"/>
                              <w:rPr>
                                <w:color w:val="000000" w:themeColor="text1"/>
                              </w:rPr>
                            </w:pPr>
                            <w:r>
                              <w:rPr>
                                <w:color w:val="000000" w:themeColor="text1"/>
                              </w:rPr>
                              <w:t xml:space="preserve">Provide education, </w:t>
                            </w:r>
                            <w:r w:rsidR="00721AD4">
                              <w:rPr>
                                <w:color w:val="000000" w:themeColor="text1"/>
                              </w:rPr>
                              <w:t>training</w:t>
                            </w:r>
                            <w:r>
                              <w:rPr>
                                <w:color w:val="000000" w:themeColor="text1"/>
                              </w:rPr>
                              <w:t xml:space="preserve"> and consultative services</w:t>
                            </w:r>
                          </w:p>
                          <w:p w:rsidR="00721AD4" w:rsidRDefault="00721AD4" w:rsidP="00721AD4">
                            <w:pPr>
                              <w:jc w:val="center"/>
                              <w:rPr>
                                <w:color w:val="000000" w:themeColor="text1"/>
                              </w:rPr>
                            </w:pPr>
                            <w:r>
                              <w:rPr>
                                <w:color w:val="000000" w:themeColor="text1"/>
                              </w:rPr>
                              <w:t>Engage in infection prevention activities</w:t>
                            </w:r>
                          </w:p>
                          <w:p w:rsidR="00721AD4" w:rsidRDefault="000E2397" w:rsidP="00721AD4">
                            <w:pPr>
                              <w:jc w:val="center"/>
                              <w:rPr>
                                <w:color w:val="000000" w:themeColor="text1"/>
                              </w:rPr>
                            </w:pPr>
                            <w:r>
                              <w:rPr>
                                <w:color w:val="000000" w:themeColor="text1"/>
                              </w:rPr>
                              <w:t>Expand</w:t>
                            </w:r>
                            <w:r w:rsidR="00721AD4">
                              <w:rPr>
                                <w:color w:val="000000" w:themeColor="text1"/>
                              </w:rPr>
                              <w:t xml:space="preserve"> antimicrobial stewardship efforts</w:t>
                            </w:r>
                          </w:p>
                          <w:p w:rsidR="00721AD4" w:rsidRDefault="00721AD4" w:rsidP="00721AD4">
                            <w:pPr>
                              <w:jc w:val="center"/>
                              <w:rPr>
                                <w:color w:val="000000" w:themeColor="text1"/>
                              </w:rPr>
                            </w:pPr>
                          </w:p>
                          <w:p w:rsidR="00505611" w:rsidRDefault="00505611"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Pr="00A44279" w:rsidRDefault="00A44279" w:rsidP="00A442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FDD57" id="Oval 6" o:spid="_x0000_s1029" style="position:absolute;margin-left:219.6pt;margin-top:18pt;width:273pt;height:25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" fillcolor="window" strokecolor="#385d8a" strokeweight="2pt">
                <v:textbox>
                  <w:txbxContent>
                    <w:p w:rsidR="00725D2F" w:rsidRDefault="00725D2F" w:rsidP="00A81FA1">
                      <w:pPr>
                        <w:spacing w:after="0"/>
                        <w:jc w:val="center"/>
                        <w:rPr>
                          <w:b/>
                          <w:color w:val="000000" w:themeColor="text1"/>
                          <w:u w:val="single"/>
                        </w:rPr>
                      </w:pPr>
                    </w:p>
                    <w:p w:rsidR="00A81FA1" w:rsidRDefault="000E2397" w:rsidP="00721AD4">
                      <w:pPr>
                        <w:jc w:val="center"/>
                        <w:rPr>
                          <w:b/>
                          <w:color w:val="000000" w:themeColor="text1"/>
                          <w:u w:val="single"/>
                        </w:rPr>
                      </w:pPr>
                      <w:r>
                        <w:rPr>
                          <w:b/>
                          <w:color w:val="000000" w:themeColor="text1"/>
                          <w:u w:val="single"/>
                        </w:rPr>
                        <w:t>PREVENT</w:t>
                      </w:r>
                    </w:p>
                    <w:p w:rsidR="00A44279" w:rsidRDefault="00B72578" w:rsidP="00721AD4">
                      <w:pPr>
                        <w:jc w:val="center"/>
                        <w:rPr>
                          <w:color w:val="000000" w:themeColor="text1"/>
                        </w:rPr>
                      </w:pPr>
                      <w:r>
                        <w:rPr>
                          <w:color w:val="000000" w:themeColor="text1"/>
                        </w:rPr>
                        <w:t xml:space="preserve">Provide education, </w:t>
                      </w:r>
                      <w:r w:rsidR="00721AD4">
                        <w:rPr>
                          <w:color w:val="000000" w:themeColor="text1"/>
                        </w:rPr>
                        <w:t>training</w:t>
                      </w:r>
                      <w:r>
                        <w:rPr>
                          <w:color w:val="000000" w:themeColor="text1"/>
                        </w:rPr>
                        <w:t xml:space="preserve"> and consultative services</w:t>
                      </w:r>
                    </w:p>
                    <w:p w:rsidR="00721AD4" w:rsidRDefault="00721AD4" w:rsidP="00721AD4">
                      <w:pPr>
                        <w:jc w:val="center"/>
                        <w:rPr>
                          <w:color w:val="000000" w:themeColor="text1"/>
                        </w:rPr>
                      </w:pPr>
                      <w:r>
                        <w:rPr>
                          <w:color w:val="000000" w:themeColor="text1"/>
                        </w:rPr>
                        <w:t>Engage in infection prevention activities</w:t>
                      </w:r>
                    </w:p>
                    <w:p w:rsidR="00721AD4" w:rsidRDefault="000E2397" w:rsidP="00721AD4">
                      <w:pPr>
                        <w:jc w:val="center"/>
                        <w:rPr>
                          <w:color w:val="000000" w:themeColor="text1"/>
                        </w:rPr>
                      </w:pPr>
                      <w:r>
                        <w:rPr>
                          <w:color w:val="000000" w:themeColor="text1"/>
                        </w:rPr>
                        <w:t>Expand</w:t>
                      </w:r>
                      <w:r w:rsidR="00721AD4">
                        <w:rPr>
                          <w:color w:val="000000" w:themeColor="text1"/>
                        </w:rPr>
                        <w:t xml:space="preserve"> antimicrobial stewardship efforts</w:t>
                      </w:r>
                    </w:p>
                    <w:p w:rsidR="00721AD4" w:rsidRDefault="00721AD4" w:rsidP="00721AD4">
                      <w:pPr>
                        <w:jc w:val="center"/>
                        <w:rPr>
                          <w:color w:val="000000" w:themeColor="text1"/>
                        </w:rPr>
                      </w:pPr>
                    </w:p>
                    <w:p w:rsidR="00505611" w:rsidRDefault="00505611"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Pr="00A44279" w:rsidRDefault="00A44279" w:rsidP="00A44279">
                      <w:pPr>
                        <w:jc w:val="center"/>
                        <w:rPr>
                          <w:color w:val="000000" w:themeColor="text1"/>
                        </w:rPr>
                      </w:pPr>
                    </w:p>
                  </w:txbxContent>
                </v:textbox>
              </v:oval>
            </w:pict>
          </mc:Fallback>
        </mc:AlternateContent>
      </w:r>
    </w:p>
    <w:p w:rsidR="008C4291" w:rsidRDefault="00721AD4" w:rsidP="000558E0">
      <w:r>
        <w:rPr>
          <w:noProof/>
        </w:rPr>
        <mc:AlternateContent>
          <mc:Choice Requires="wps">
            <w:drawing>
              <wp:anchor distT="0" distB="0" distL="114300" distR="114300" simplePos="0" relativeHeight="251685888" behindDoc="0" locked="0" layoutInCell="1" allowOverlap="1" wp14:anchorId="55EE2ED6" wp14:editId="2D87B836">
                <wp:simplePos x="0" y="0"/>
                <wp:positionH relativeFrom="column">
                  <wp:posOffset>-15240</wp:posOffset>
                </wp:positionH>
                <wp:positionV relativeFrom="paragraph">
                  <wp:posOffset>4445</wp:posOffset>
                </wp:positionV>
                <wp:extent cx="3314700" cy="3108960"/>
                <wp:effectExtent l="0" t="0" r="19050" b="15240"/>
                <wp:wrapNone/>
                <wp:docPr id="4" name="Oval 4"/>
                <wp:cNvGraphicFramePr/>
                <a:graphic xmlns:a="http://schemas.openxmlformats.org/drawingml/2006/main">
                  <a:graphicData uri="http://schemas.microsoft.com/office/word/2010/wordprocessingShape">
                    <wps:wsp>
                      <wps:cNvSpPr/>
                      <wps:spPr>
                        <a:xfrm>
                          <a:off x="0" y="0"/>
                          <a:ext cx="3314700" cy="3108960"/>
                        </a:xfrm>
                        <a:prstGeom prst="ellipse">
                          <a:avLst/>
                        </a:prstGeom>
                        <a:solidFill>
                          <a:sysClr val="window" lastClr="FFFFFF"/>
                        </a:solidFill>
                        <a:ln w="25400" cap="flat" cmpd="sng" algn="ctr">
                          <a:solidFill>
                            <a:srgbClr val="4F81BD">
                              <a:shade val="50000"/>
                            </a:srgbClr>
                          </a:solidFill>
                          <a:prstDash val="solid"/>
                        </a:ln>
                        <a:effectLst/>
                      </wps:spPr>
                      <wps:txbx>
                        <w:txbxContent>
                          <w:p w:rsidR="00A44279" w:rsidRPr="0022247B" w:rsidRDefault="000E2397" w:rsidP="00A44279">
                            <w:pPr>
                              <w:jc w:val="center"/>
                              <w:rPr>
                                <w:b/>
                                <w:color w:val="000000" w:themeColor="text1"/>
                                <w:u w:val="single"/>
                              </w:rPr>
                            </w:pPr>
                            <w:r>
                              <w:rPr>
                                <w:b/>
                                <w:color w:val="000000" w:themeColor="text1"/>
                                <w:u w:val="single"/>
                              </w:rPr>
                              <w:t>ANALYZE</w:t>
                            </w:r>
                          </w:p>
                          <w:p w:rsidR="00505611" w:rsidRDefault="00721AD4" w:rsidP="00721AD4">
                            <w:pPr>
                              <w:jc w:val="center"/>
                              <w:rPr>
                                <w:color w:val="000000" w:themeColor="text1"/>
                              </w:rPr>
                            </w:pPr>
                            <w:r>
                              <w:rPr>
                                <w:color w:val="000000" w:themeColor="text1"/>
                              </w:rPr>
                              <w:t>Prioritize HAI data for 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Ensure surveillance data is available to key stakeholders</w:t>
                            </w:r>
                          </w:p>
                          <w:p w:rsidR="00721AD4" w:rsidRDefault="00CF4220" w:rsidP="00721AD4">
                            <w:pPr>
                              <w:jc w:val="center"/>
                              <w:rPr>
                                <w:color w:val="000000" w:themeColor="text1"/>
                              </w:rPr>
                            </w:pPr>
                            <w:r>
                              <w:rPr>
                                <w:color w:val="000000" w:themeColor="text1"/>
                              </w:rPr>
                              <w:t>I</w:t>
                            </w:r>
                            <w:r w:rsidR="00721AD4">
                              <w:rPr>
                                <w:color w:val="000000" w:themeColor="text1"/>
                              </w:rPr>
                              <w:t>ncreased data analysis</w:t>
                            </w:r>
                          </w:p>
                          <w:p w:rsidR="00721AD4" w:rsidRDefault="00721AD4" w:rsidP="00721AD4">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Pr="00A44279" w:rsidRDefault="00A44279" w:rsidP="00A442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E2ED6" id="Oval 4" o:spid="_x0000_s1030" style="position:absolute;margin-left:-1.2pt;margin-top:.35pt;width:261pt;height:24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" fillcolor="window" strokecolor="#385d8a" strokeweight="2pt">
                <v:textbox>
                  <w:txbxContent>
                    <w:p w:rsidR="00A44279" w:rsidRPr="0022247B" w:rsidRDefault="000E2397" w:rsidP="00A44279">
                      <w:pPr>
                        <w:jc w:val="center"/>
                        <w:rPr>
                          <w:b/>
                          <w:color w:val="000000" w:themeColor="text1"/>
                          <w:u w:val="single"/>
                        </w:rPr>
                      </w:pPr>
                      <w:r>
                        <w:rPr>
                          <w:b/>
                          <w:color w:val="000000" w:themeColor="text1"/>
                          <w:u w:val="single"/>
                        </w:rPr>
                        <w:t>ANALYZE</w:t>
                      </w:r>
                    </w:p>
                    <w:p w:rsidR="00505611" w:rsidRDefault="00721AD4" w:rsidP="00721AD4">
                      <w:pPr>
                        <w:jc w:val="center"/>
                        <w:rPr>
                          <w:color w:val="000000" w:themeColor="text1"/>
                        </w:rPr>
                      </w:pPr>
                      <w:r>
                        <w:rPr>
                          <w:color w:val="000000" w:themeColor="text1"/>
                        </w:rPr>
                        <w:t>Prioritize HAI data for 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Ensure surveillance data is available to key stakeholders</w:t>
                      </w:r>
                    </w:p>
                    <w:p w:rsidR="00721AD4" w:rsidRDefault="00CF4220" w:rsidP="00721AD4">
                      <w:pPr>
                        <w:jc w:val="center"/>
                        <w:rPr>
                          <w:color w:val="000000" w:themeColor="text1"/>
                        </w:rPr>
                      </w:pPr>
                      <w:r>
                        <w:rPr>
                          <w:color w:val="000000" w:themeColor="text1"/>
                        </w:rPr>
                        <w:t>I</w:t>
                      </w:r>
                      <w:r w:rsidR="00721AD4">
                        <w:rPr>
                          <w:color w:val="000000" w:themeColor="text1"/>
                        </w:rPr>
                        <w:t>ncreased data analysis</w:t>
                      </w:r>
                    </w:p>
                    <w:p w:rsidR="00721AD4" w:rsidRDefault="00721AD4" w:rsidP="00721AD4">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Pr="00A44279" w:rsidRDefault="00A44279" w:rsidP="00A44279">
                      <w:pPr>
                        <w:jc w:val="center"/>
                        <w:rPr>
                          <w:color w:val="000000" w:themeColor="text1"/>
                        </w:rPr>
                      </w:pPr>
                    </w:p>
                  </w:txbxContent>
                </v:textbox>
              </v:oval>
            </w:pict>
          </mc:Fallback>
        </mc:AlternateContent>
      </w:r>
    </w:p>
    <w:p w:rsidR="000558E0" w:rsidRDefault="000558E0" w:rsidP="000558E0"/>
    <w:p w:rsidR="0022247B" w:rsidRDefault="0022247B" w:rsidP="0022247B">
      <w:pPr>
        <w:jc w:val="center"/>
        <w:rPr>
          <w:color w:val="000000" w:themeColor="text1"/>
        </w:rPr>
      </w:pPr>
    </w:p>
    <w:p w:rsidR="000558E0" w:rsidRDefault="000558E0" w:rsidP="000558E0"/>
    <w:p w:rsidR="000558E0" w:rsidRDefault="000558E0" w:rsidP="000558E0"/>
    <w:p w:rsidR="000558E0" w:rsidRDefault="000558E0" w:rsidP="000558E0"/>
    <w:p w:rsidR="000558E0" w:rsidRDefault="000558E0" w:rsidP="000558E0"/>
    <w:p w:rsidR="0022247B" w:rsidRDefault="0022247B" w:rsidP="0022247B">
      <w:pPr>
        <w:jc w:val="center"/>
        <w:rPr>
          <w:color w:val="000000" w:themeColor="text1"/>
        </w:rPr>
      </w:pPr>
    </w:p>
    <w:p w:rsidR="000558E0" w:rsidRDefault="000558E0" w:rsidP="000558E0"/>
    <w:p w:rsidR="000558E0" w:rsidRDefault="000558E0" w:rsidP="000558E0"/>
    <w:p w:rsidR="000558E0" w:rsidRDefault="000558E0" w:rsidP="000558E0"/>
    <w:p w:rsidR="00003E7E" w:rsidRDefault="008C3ACA" w:rsidP="000558E0">
      <w:r>
        <w:rPr>
          <w:noProof/>
        </w:rPr>
        <mc:AlternateContent>
          <mc:Choice Requires="wps">
            <w:drawing>
              <wp:anchor distT="0" distB="0" distL="114300" distR="114300" simplePos="0" relativeHeight="251678720" behindDoc="1" locked="0" layoutInCell="1" allowOverlap="1" wp14:anchorId="323E8E72" wp14:editId="24EB6868">
                <wp:simplePos x="0" y="0"/>
                <wp:positionH relativeFrom="column">
                  <wp:posOffset>-365760</wp:posOffset>
                </wp:positionH>
                <wp:positionV relativeFrom="paragraph">
                  <wp:posOffset>307975</wp:posOffset>
                </wp:positionV>
                <wp:extent cx="6705600" cy="571500"/>
                <wp:effectExtent l="0" t="0" r="19050" b="19050"/>
                <wp:wrapTight wrapText="bothSides">
                  <wp:wrapPolygon edited="0">
                    <wp:start x="0" y="0"/>
                    <wp:lineTo x="0" y="21600"/>
                    <wp:lineTo x="21600" y="21600"/>
                    <wp:lineTo x="21600" y="0"/>
                    <wp:lineTo x="0" y="0"/>
                  </wp:wrapPolygon>
                </wp:wrapTight>
                <wp:docPr id="14" name="Rectangle 14"/>
                <wp:cNvGraphicFramePr/>
                <a:graphic xmlns:a="http://schemas.openxmlformats.org/drawingml/2006/main">
                  <a:graphicData uri="http://schemas.microsoft.com/office/word/2010/wordprocessingShape">
                    <wps:wsp>
                      <wps:cNvSpPr/>
                      <wps:spPr>
                        <a:xfrm>
                          <a:off x="0" y="0"/>
                          <a:ext cx="6705600" cy="571500"/>
                        </a:xfrm>
                        <a:prstGeom prst="rect">
                          <a:avLst/>
                        </a:prstGeom>
                        <a:solidFill>
                          <a:sysClr val="window" lastClr="FFFFFF"/>
                        </a:solidFill>
                        <a:ln w="25400" cap="flat" cmpd="sng" algn="ctr">
                          <a:solidFill>
                            <a:srgbClr val="4F81BD">
                              <a:shade val="50000"/>
                            </a:srgbClr>
                          </a:solidFill>
                          <a:prstDash val="solid"/>
                        </a:ln>
                        <a:effectLst/>
                      </wps:spPr>
                      <wps:txbx>
                        <w:txbxContent>
                          <w:p w:rsidR="00DB28BA" w:rsidRPr="004B1221" w:rsidRDefault="008C3ACA" w:rsidP="00DB28BA">
                            <w:pPr>
                              <w:shd w:val="clear" w:color="auto" w:fill="FFFFFF" w:themeFill="background1"/>
                              <w:spacing w:after="0"/>
                              <w:jc w:val="center"/>
                              <w:rPr>
                                <w:b/>
                                <w:u w:val="single"/>
                              </w:rPr>
                            </w:pPr>
                            <w:r>
                              <w:rPr>
                                <w:b/>
                                <w:u w:val="single"/>
                              </w:rPr>
                              <w:t>Metrics to Evaluate Success</w:t>
                            </w:r>
                          </w:p>
                          <w:p w:rsidR="00DB28BA" w:rsidRDefault="00DB28BA" w:rsidP="00DB28BA">
                            <w:pPr>
                              <w:pStyle w:val="ListParagraph"/>
                              <w:shd w:val="clear" w:color="auto" w:fill="FFFFFF" w:themeFill="background1"/>
                              <w:jc w:val="center"/>
                            </w:pPr>
                            <w:r>
                              <w:t>P</w:t>
                            </w:r>
                            <w:r w:rsidRPr="008C4291">
                              <w:t xml:space="preserve">rogress toward national </w:t>
                            </w:r>
                            <w:r w:rsidR="00B72578">
                              <w:t xml:space="preserve">Healthy People 2020 </w:t>
                            </w:r>
                            <w:r w:rsidRPr="008C4291">
                              <w:t>pre</w:t>
                            </w:r>
                            <w:r w:rsidR="00B72578">
                              <w:t>vention 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E8E72" id="Rectangle 14" o:spid="_x0000_s1031" style="position:absolute;margin-left:-28.8pt;margin-top:24.25pt;width:528pt;height: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" fillcolor="window" strokecolor="#385d8a" strokeweight="2pt">
                <v:textbox>
                  <w:txbxContent>
                    <w:p w:rsidR="00DB28BA" w:rsidRPr="004B1221" w:rsidRDefault="008C3ACA" w:rsidP="00DB28BA">
                      <w:pPr>
                        <w:shd w:val="clear" w:color="auto" w:fill="FFFFFF" w:themeFill="background1"/>
                        <w:spacing w:after="0"/>
                        <w:jc w:val="center"/>
                        <w:rPr>
                          <w:b/>
                          <w:u w:val="single"/>
                        </w:rPr>
                      </w:pPr>
                      <w:r>
                        <w:rPr>
                          <w:b/>
                          <w:u w:val="single"/>
                        </w:rPr>
                        <w:t>Metrics to Evaluate Success</w:t>
                      </w:r>
                    </w:p>
                    <w:p w:rsidR="00DB28BA" w:rsidRDefault="00DB28BA" w:rsidP="00DB28BA">
                      <w:pPr>
                        <w:pStyle w:val="ListParagraph"/>
                        <w:shd w:val="clear" w:color="auto" w:fill="FFFFFF" w:themeFill="background1"/>
                        <w:jc w:val="center"/>
                      </w:pPr>
                      <w:r>
                        <w:t>P</w:t>
                      </w:r>
                      <w:r w:rsidRPr="008C4291">
                        <w:t xml:space="preserve">rogress toward national </w:t>
                      </w:r>
                      <w:r w:rsidR="00B72578">
                        <w:t xml:space="preserve">Healthy People 2020 </w:t>
                      </w:r>
                      <w:r w:rsidRPr="008C4291">
                        <w:t>pre</w:t>
                      </w:r>
                      <w:r w:rsidR="00B72578">
                        <w:t>vention targets.</w:t>
                      </w:r>
                    </w:p>
                  </w:txbxContent>
                </v:textbox>
                <w10:wrap type="tight"/>
              </v:rect>
            </w:pict>
          </mc:Fallback>
        </mc:AlternateContent>
      </w:r>
    </w:p>
    <w:p w:rsidR="00003E7E" w:rsidRDefault="00003E7E" w:rsidP="000558E0">
      <w:pPr>
        <w:sectPr w:rsidR="00003E7E" w:rsidSect="008D1CC2">
          <w:headerReference w:type="default" r:id="rId9"/>
          <w:pgSz w:w="12240" w:h="15840"/>
          <w:pgMar w:top="1440" w:right="1440" w:bottom="270" w:left="1440" w:header="720" w:footer="720" w:gutter="0"/>
          <w:cols w:space="720"/>
          <w:docGrid w:linePitch="360"/>
        </w:sectPr>
      </w:pPr>
    </w:p>
    <w:tbl>
      <w:tblPr>
        <w:tblStyle w:val="TableGrid1"/>
        <w:tblpPr w:leftFromText="180" w:rightFromText="180" w:vertAnchor="page" w:horzAnchor="margin" w:tblpY="1837"/>
        <w:tblW w:w="14238" w:type="dxa"/>
        <w:tblLook w:val="04A0" w:firstRow="1" w:lastRow="0" w:firstColumn="1" w:lastColumn="0" w:noHBand="0" w:noVBand="1"/>
      </w:tblPr>
      <w:tblGrid>
        <w:gridCol w:w="1975"/>
        <w:gridCol w:w="2813"/>
        <w:gridCol w:w="4115"/>
        <w:gridCol w:w="2635"/>
        <w:gridCol w:w="2700"/>
      </w:tblGrid>
      <w:tr w:rsidR="004D7AC3" w:rsidRPr="00003E7E" w:rsidTr="00A12A29">
        <w:tc>
          <w:tcPr>
            <w:tcW w:w="14238" w:type="dxa"/>
            <w:gridSpan w:val="5"/>
            <w:shd w:val="clear" w:color="auto" w:fill="B6DDE8" w:themeFill="accent5" w:themeFillTint="66"/>
          </w:tcPr>
          <w:p w:rsidR="004D7AC3" w:rsidRPr="00003E7E" w:rsidRDefault="004D7AC3" w:rsidP="00003E7E">
            <w:pPr>
              <w:jc w:val="center"/>
              <w:rPr>
                <w:rFonts w:ascii="Times New Roman" w:hAnsi="Times New Roman" w:cs="Times New Roman"/>
                <w:b/>
                <w:sz w:val="24"/>
              </w:rPr>
            </w:pPr>
            <w:r>
              <w:rPr>
                <w:rFonts w:ascii="Times New Roman" w:hAnsi="Times New Roman" w:cs="Times New Roman"/>
                <w:b/>
                <w:sz w:val="24"/>
              </w:rPr>
              <w:lastRenderedPageBreak/>
              <w:t>RESPOND</w:t>
            </w:r>
          </w:p>
        </w:tc>
      </w:tr>
      <w:tr w:rsidR="0046391F" w:rsidRPr="00003E7E" w:rsidTr="00A12A29">
        <w:tc>
          <w:tcPr>
            <w:tcW w:w="1975"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Priorities</w:t>
            </w:r>
          </w:p>
        </w:tc>
        <w:tc>
          <w:tcPr>
            <w:tcW w:w="2813"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Pr>
                <w:rFonts w:ascii="Times New Roman" w:hAnsi="Times New Roman" w:cs="Times New Roman"/>
                <w:b/>
                <w:sz w:val="24"/>
              </w:rPr>
              <w:t>Year 0 (2015)</w:t>
            </w:r>
          </w:p>
        </w:tc>
        <w:tc>
          <w:tcPr>
            <w:tcW w:w="4115"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1 (2016)</w:t>
            </w:r>
          </w:p>
        </w:tc>
        <w:tc>
          <w:tcPr>
            <w:tcW w:w="2635"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2 (2017)</w:t>
            </w:r>
          </w:p>
        </w:tc>
        <w:tc>
          <w:tcPr>
            <w:tcW w:w="270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3 (2018)</w:t>
            </w:r>
          </w:p>
        </w:tc>
      </w:tr>
      <w:tr w:rsidR="0046391F" w:rsidRPr="00003E7E" w:rsidTr="00C91A1D">
        <w:tc>
          <w:tcPr>
            <w:tcW w:w="1975" w:type="dxa"/>
            <w:vMerge w:val="restart"/>
            <w:vAlign w:val="center"/>
          </w:tcPr>
          <w:p w:rsidR="0046391F" w:rsidRPr="00003E7E" w:rsidRDefault="0046391F" w:rsidP="00003E7E">
            <w:pPr>
              <w:rPr>
                <w:rFonts w:ascii="Times New Roman" w:hAnsi="Times New Roman" w:cs="Times New Roman"/>
                <w:sz w:val="20"/>
                <w:szCs w:val="20"/>
              </w:rPr>
            </w:pPr>
            <w:r w:rsidRPr="00003E7E">
              <w:rPr>
                <w:rFonts w:ascii="Times New Roman" w:hAnsi="Times New Roman" w:cs="Times New Roman"/>
                <w:sz w:val="20"/>
                <w:szCs w:val="20"/>
              </w:rPr>
              <w:t xml:space="preserve">Detect, investigate, control and prevent </w:t>
            </w:r>
          </w:p>
          <w:p w:rsidR="0046391F" w:rsidRDefault="0046391F" w:rsidP="00003E7E">
            <w:pPr>
              <w:rPr>
                <w:rFonts w:ascii="Times New Roman" w:hAnsi="Times New Roman" w:cs="Times New Roman"/>
                <w:sz w:val="20"/>
                <w:szCs w:val="20"/>
              </w:rPr>
            </w:pPr>
            <w:r w:rsidRPr="00003E7E">
              <w:rPr>
                <w:rFonts w:ascii="Times New Roman" w:hAnsi="Times New Roman" w:cs="Times New Roman"/>
                <w:sz w:val="20"/>
                <w:szCs w:val="20"/>
              </w:rPr>
              <w:t>HAI-related outbreaks</w:t>
            </w:r>
          </w:p>
          <w:p w:rsidR="0046391F" w:rsidRDefault="0046391F" w:rsidP="00003E7E">
            <w:pPr>
              <w:rPr>
                <w:rFonts w:ascii="Times New Roman" w:hAnsi="Times New Roman" w:cs="Times New Roman"/>
                <w:sz w:val="20"/>
                <w:szCs w:val="20"/>
              </w:rPr>
            </w:pPr>
          </w:p>
          <w:p w:rsidR="0046391F" w:rsidRPr="00003E7E" w:rsidRDefault="0046391F" w:rsidP="00003E7E">
            <w:pPr>
              <w:rPr>
                <w:rFonts w:ascii="Times New Roman" w:hAnsi="Times New Roman" w:cs="Times New Roman"/>
                <w:sz w:val="20"/>
                <w:szCs w:val="20"/>
              </w:rPr>
            </w:pPr>
          </w:p>
        </w:tc>
        <w:tc>
          <w:tcPr>
            <w:tcW w:w="2813" w:type="dxa"/>
          </w:tcPr>
          <w:p w:rsidR="0046391F" w:rsidRPr="004D7AC3" w:rsidRDefault="00F74FB8" w:rsidP="004D7AC3">
            <w:pPr>
              <w:rPr>
                <w:rFonts w:ascii="Times New Roman" w:hAnsi="Times New Roman" w:cs="Times New Roman"/>
                <w:sz w:val="20"/>
                <w:szCs w:val="20"/>
              </w:rPr>
            </w:pPr>
            <w:r>
              <w:rPr>
                <w:rFonts w:ascii="Times New Roman" w:hAnsi="Times New Roman" w:cs="Times New Roman"/>
                <w:sz w:val="20"/>
                <w:szCs w:val="20"/>
              </w:rPr>
              <w:t>Design and implement a system to t</w:t>
            </w:r>
            <w:r w:rsidR="0046391F" w:rsidRPr="004D7AC3">
              <w:rPr>
                <w:rFonts w:ascii="Times New Roman" w:hAnsi="Times New Roman" w:cs="Times New Roman"/>
                <w:sz w:val="20"/>
                <w:szCs w:val="20"/>
              </w:rPr>
              <w:t>rack HAI outbreak response and outcomes</w:t>
            </w:r>
            <w:r>
              <w:rPr>
                <w:rFonts w:ascii="Times New Roman" w:hAnsi="Times New Roman" w:cs="Times New Roman"/>
                <w:sz w:val="20"/>
                <w:szCs w:val="20"/>
              </w:rPr>
              <w:t>, for outbreaks reported to public health</w:t>
            </w:r>
            <w:r w:rsidR="0046391F" w:rsidRPr="004D7AC3">
              <w:rPr>
                <w:rFonts w:ascii="Times New Roman" w:hAnsi="Times New Roman" w:cs="Times New Roman"/>
                <w:sz w:val="20"/>
                <w:szCs w:val="20"/>
              </w:rPr>
              <w:t>.</w:t>
            </w:r>
          </w:p>
        </w:tc>
        <w:tc>
          <w:tcPr>
            <w:tcW w:w="4115" w:type="dxa"/>
          </w:tcPr>
          <w:p w:rsidR="0046391F" w:rsidRPr="004D7AC3" w:rsidRDefault="0046391F" w:rsidP="004D7AC3">
            <w:pPr>
              <w:rPr>
                <w:rFonts w:ascii="Times New Roman" w:hAnsi="Times New Roman" w:cs="Times New Roman"/>
                <w:sz w:val="20"/>
                <w:szCs w:val="20"/>
              </w:rPr>
            </w:pPr>
            <w:r w:rsidRPr="004D7AC3">
              <w:rPr>
                <w:rFonts w:ascii="Times New Roman" w:hAnsi="Times New Roman" w:cs="Times New Roman"/>
                <w:sz w:val="20"/>
                <w:szCs w:val="20"/>
              </w:rPr>
              <w:t>Assess capacities of healthcare facilities to detect</w:t>
            </w:r>
            <w:r>
              <w:rPr>
                <w:rFonts w:ascii="Times New Roman" w:hAnsi="Times New Roman" w:cs="Times New Roman"/>
                <w:sz w:val="20"/>
                <w:szCs w:val="20"/>
              </w:rPr>
              <w:t>,</w:t>
            </w:r>
            <w:r w:rsidRPr="004D7AC3">
              <w:rPr>
                <w:rFonts w:ascii="Times New Roman" w:hAnsi="Times New Roman" w:cs="Times New Roman"/>
                <w:sz w:val="20"/>
                <w:szCs w:val="20"/>
              </w:rPr>
              <w:t xml:space="preserve"> report and respond to potential outbreaks and emerging threats.</w:t>
            </w:r>
          </w:p>
          <w:p w:rsidR="0046391F" w:rsidRPr="00003E7E" w:rsidRDefault="0046391F" w:rsidP="004D7AC3">
            <w:pPr>
              <w:rPr>
                <w:rFonts w:ascii="Times New Roman" w:hAnsi="Times New Roman" w:cs="Times New Roman"/>
                <w:sz w:val="20"/>
                <w:szCs w:val="20"/>
              </w:rPr>
            </w:pPr>
            <w:r w:rsidRPr="004D7AC3">
              <w:rPr>
                <w:rFonts w:ascii="Times New Roman" w:hAnsi="Times New Roman" w:cs="Times New Roman"/>
                <w:sz w:val="20"/>
                <w:szCs w:val="20"/>
              </w:rPr>
              <w:t>Determine gaps in HAI outbreak reporting</w:t>
            </w:r>
            <w:r>
              <w:rPr>
                <w:rFonts w:ascii="Times New Roman" w:hAnsi="Times New Roman" w:cs="Times New Roman"/>
                <w:sz w:val="20"/>
                <w:szCs w:val="20"/>
              </w:rPr>
              <w:t xml:space="preserve"> and response in all healthcare settings</w:t>
            </w:r>
          </w:p>
        </w:tc>
        <w:tc>
          <w:tcPr>
            <w:tcW w:w="2635" w:type="dxa"/>
          </w:tcPr>
          <w:p w:rsidR="0046391F" w:rsidRPr="00003E7E" w:rsidRDefault="0046391F" w:rsidP="004D7AC3">
            <w:pPr>
              <w:rPr>
                <w:rFonts w:ascii="Times New Roman" w:hAnsi="Times New Roman" w:cs="Times New Roman"/>
                <w:sz w:val="20"/>
                <w:szCs w:val="20"/>
              </w:rPr>
            </w:pPr>
            <w:r>
              <w:rPr>
                <w:rFonts w:ascii="Times New Roman" w:hAnsi="Times New Roman" w:cs="Times New Roman"/>
                <w:sz w:val="20"/>
                <w:szCs w:val="20"/>
              </w:rPr>
              <w:t>Address gaps in outbreak investigation capacity by working with healthcare partners to develop a plan (and infrastructure) to improve outbreak reporting and response.</w:t>
            </w:r>
          </w:p>
        </w:tc>
        <w:tc>
          <w:tcPr>
            <w:tcW w:w="2700" w:type="dxa"/>
          </w:tcPr>
          <w:p w:rsidR="0046391F" w:rsidRPr="00003E7E" w:rsidRDefault="0046391F" w:rsidP="004D7AC3">
            <w:pPr>
              <w:rPr>
                <w:rFonts w:ascii="Times New Roman" w:hAnsi="Times New Roman" w:cs="Times New Roman"/>
                <w:sz w:val="20"/>
                <w:szCs w:val="20"/>
              </w:rPr>
            </w:pPr>
          </w:p>
        </w:tc>
      </w:tr>
      <w:tr w:rsidR="0046391F" w:rsidRPr="00003E7E" w:rsidTr="00C91A1D">
        <w:trPr>
          <w:trHeight w:val="1025"/>
        </w:trPr>
        <w:tc>
          <w:tcPr>
            <w:tcW w:w="1975" w:type="dxa"/>
            <w:vMerge/>
            <w:vAlign w:val="center"/>
          </w:tcPr>
          <w:p w:rsidR="0046391F" w:rsidRPr="00003E7E" w:rsidRDefault="0046391F" w:rsidP="00003E7E">
            <w:pPr>
              <w:rPr>
                <w:rFonts w:ascii="Times New Roman" w:hAnsi="Times New Roman" w:cs="Times New Roman"/>
                <w:sz w:val="20"/>
                <w:szCs w:val="20"/>
              </w:rPr>
            </w:pPr>
          </w:p>
        </w:tc>
        <w:tc>
          <w:tcPr>
            <w:tcW w:w="2813" w:type="dxa"/>
          </w:tcPr>
          <w:p w:rsidR="0046391F" w:rsidRPr="004D7AC3" w:rsidRDefault="0046391F" w:rsidP="004D7AC3">
            <w:pPr>
              <w:ind w:left="360"/>
              <w:rPr>
                <w:rFonts w:ascii="Times New Roman" w:hAnsi="Times New Roman" w:cs="Times New Roman"/>
                <w:sz w:val="20"/>
                <w:szCs w:val="20"/>
              </w:rPr>
            </w:pPr>
          </w:p>
        </w:tc>
        <w:tc>
          <w:tcPr>
            <w:tcW w:w="4115" w:type="dxa"/>
          </w:tcPr>
          <w:p w:rsidR="0046391F" w:rsidRPr="004D7AC3" w:rsidRDefault="0046391F" w:rsidP="004D7AC3">
            <w:pPr>
              <w:rPr>
                <w:rFonts w:ascii="Times New Roman" w:hAnsi="Times New Roman" w:cs="Times New Roman"/>
                <w:sz w:val="20"/>
                <w:szCs w:val="20"/>
              </w:rPr>
            </w:pPr>
            <w:r w:rsidRPr="004D7AC3">
              <w:rPr>
                <w:rFonts w:ascii="Times New Roman" w:hAnsi="Times New Roman" w:cs="Times New Roman"/>
                <w:sz w:val="20"/>
                <w:szCs w:val="20"/>
              </w:rPr>
              <w:t xml:space="preserve">Explore the need for additional laws related to state authority for public health to conduct investigations related </w:t>
            </w:r>
            <w:r>
              <w:rPr>
                <w:rFonts w:ascii="Times New Roman" w:hAnsi="Times New Roman" w:cs="Times New Roman"/>
                <w:sz w:val="20"/>
                <w:szCs w:val="20"/>
              </w:rPr>
              <w:t>to HAI outbreaks and infection prevention.</w:t>
            </w:r>
          </w:p>
        </w:tc>
        <w:tc>
          <w:tcPr>
            <w:tcW w:w="2635" w:type="dxa"/>
          </w:tcPr>
          <w:p w:rsidR="0046391F" w:rsidRPr="004D7AC3" w:rsidRDefault="00C91A1D" w:rsidP="00C91A1D">
            <w:pPr>
              <w:jc w:val="both"/>
              <w:rPr>
                <w:rFonts w:ascii="Times New Roman" w:hAnsi="Times New Roman" w:cs="Times New Roman"/>
                <w:sz w:val="20"/>
                <w:szCs w:val="20"/>
              </w:rPr>
            </w:pPr>
            <w:r>
              <w:rPr>
                <w:rFonts w:ascii="Times New Roman" w:hAnsi="Times New Roman" w:cs="Times New Roman"/>
                <w:sz w:val="20"/>
                <w:szCs w:val="20"/>
              </w:rPr>
              <w:t>Explore communication plans among healthcare facilities to minimize the risk of transmission of infectious disease and/or outbreak.</w:t>
            </w:r>
          </w:p>
        </w:tc>
        <w:tc>
          <w:tcPr>
            <w:tcW w:w="2700" w:type="dxa"/>
          </w:tcPr>
          <w:p w:rsidR="0046391F" w:rsidRDefault="0046391F" w:rsidP="004D7AC3">
            <w:pPr>
              <w:rPr>
                <w:rFonts w:ascii="Times New Roman" w:hAnsi="Times New Roman" w:cs="Times New Roman"/>
                <w:sz w:val="20"/>
                <w:szCs w:val="20"/>
              </w:rPr>
            </w:pPr>
          </w:p>
        </w:tc>
      </w:tr>
      <w:tr w:rsidR="0046391F" w:rsidRPr="00003E7E" w:rsidTr="00C91A1D">
        <w:trPr>
          <w:trHeight w:val="971"/>
        </w:trPr>
        <w:tc>
          <w:tcPr>
            <w:tcW w:w="1975" w:type="dxa"/>
            <w:vMerge/>
            <w:vAlign w:val="center"/>
          </w:tcPr>
          <w:p w:rsidR="0046391F" w:rsidRPr="00003E7E" w:rsidRDefault="0046391F" w:rsidP="00003E7E">
            <w:pPr>
              <w:rPr>
                <w:rFonts w:ascii="Times New Roman" w:hAnsi="Times New Roman" w:cs="Times New Roman"/>
                <w:sz w:val="20"/>
                <w:szCs w:val="20"/>
              </w:rPr>
            </w:pPr>
          </w:p>
        </w:tc>
        <w:tc>
          <w:tcPr>
            <w:tcW w:w="2813" w:type="dxa"/>
          </w:tcPr>
          <w:p w:rsidR="0046391F" w:rsidRPr="004D7AC3" w:rsidRDefault="0046391F" w:rsidP="004D7AC3">
            <w:pPr>
              <w:ind w:left="360"/>
              <w:rPr>
                <w:rFonts w:ascii="Times New Roman" w:hAnsi="Times New Roman" w:cs="Times New Roman"/>
                <w:sz w:val="20"/>
                <w:szCs w:val="20"/>
              </w:rPr>
            </w:pPr>
          </w:p>
        </w:tc>
        <w:tc>
          <w:tcPr>
            <w:tcW w:w="4115" w:type="dxa"/>
          </w:tcPr>
          <w:p w:rsidR="0046391F" w:rsidRPr="004D7AC3" w:rsidRDefault="0046391F" w:rsidP="004D7AC3">
            <w:pPr>
              <w:ind w:left="360"/>
              <w:rPr>
                <w:rFonts w:ascii="Times New Roman" w:hAnsi="Times New Roman" w:cs="Times New Roman"/>
                <w:color w:val="FF0000"/>
                <w:sz w:val="20"/>
                <w:szCs w:val="20"/>
              </w:rPr>
            </w:pPr>
          </w:p>
        </w:tc>
        <w:tc>
          <w:tcPr>
            <w:tcW w:w="2635" w:type="dxa"/>
          </w:tcPr>
          <w:p w:rsidR="0046391F" w:rsidRPr="004D7AC3" w:rsidRDefault="0046391F" w:rsidP="009A31CA">
            <w:pPr>
              <w:rPr>
                <w:rFonts w:ascii="Times New Roman" w:hAnsi="Times New Roman" w:cs="Times New Roman"/>
                <w:sz w:val="20"/>
                <w:szCs w:val="20"/>
              </w:rPr>
            </w:pPr>
          </w:p>
        </w:tc>
        <w:tc>
          <w:tcPr>
            <w:tcW w:w="2700" w:type="dxa"/>
          </w:tcPr>
          <w:p w:rsidR="0046391F" w:rsidRDefault="0046391F" w:rsidP="004D7AC3">
            <w:pPr>
              <w:rPr>
                <w:rFonts w:ascii="Times New Roman" w:hAnsi="Times New Roman" w:cs="Times New Roman"/>
                <w:sz w:val="20"/>
                <w:szCs w:val="20"/>
              </w:rPr>
            </w:pPr>
          </w:p>
        </w:tc>
      </w:tr>
      <w:tr w:rsidR="0046391F" w:rsidRPr="00003E7E" w:rsidTr="00A12A29">
        <w:tc>
          <w:tcPr>
            <w:tcW w:w="1975" w:type="dxa"/>
            <w:vMerge w:val="restart"/>
            <w:vAlign w:val="center"/>
          </w:tcPr>
          <w:p w:rsidR="0046391F" w:rsidRPr="00003E7E" w:rsidRDefault="0046391F" w:rsidP="00224FAF">
            <w:pPr>
              <w:rPr>
                <w:rFonts w:ascii="Times New Roman" w:hAnsi="Times New Roman" w:cs="Times New Roman"/>
                <w:sz w:val="20"/>
                <w:szCs w:val="20"/>
              </w:rPr>
            </w:pPr>
            <w:r w:rsidRPr="00003E7E">
              <w:rPr>
                <w:rFonts w:ascii="Times New Roman" w:hAnsi="Times New Roman" w:cs="Times New Roman"/>
                <w:sz w:val="20"/>
                <w:szCs w:val="20"/>
              </w:rPr>
              <w:t>Ensure preparedness for emerging pathogens, especially those needing enhanced precautions</w:t>
            </w:r>
          </w:p>
        </w:tc>
        <w:tc>
          <w:tcPr>
            <w:tcW w:w="2813" w:type="dxa"/>
            <w:vAlign w:val="center"/>
          </w:tcPr>
          <w:p w:rsidR="004F48B6" w:rsidRPr="004F48B6" w:rsidRDefault="0046391F" w:rsidP="004D7AC3">
            <w:pPr>
              <w:rPr>
                <w:rFonts w:ascii="Times New Roman" w:hAnsi="Times New Roman" w:cs="Times New Roman"/>
                <w:color w:val="FF0000"/>
                <w:sz w:val="20"/>
                <w:szCs w:val="20"/>
              </w:rPr>
            </w:pPr>
            <w:r w:rsidRPr="004D7AC3">
              <w:rPr>
                <w:rFonts w:ascii="Times New Roman" w:hAnsi="Times New Roman" w:cs="Times New Roman"/>
                <w:color w:val="FF0000"/>
                <w:sz w:val="20"/>
                <w:szCs w:val="20"/>
              </w:rPr>
              <w:t xml:space="preserve">Assess Ebola readiness at all four Ebola-assessment hospitals in the state.  DHHS to work collaboratively with these selected healthcare facilities to address any remaining gaps in readiness in order to achieve “capacity met” status in each of eleven domains of preparedness.   </w:t>
            </w:r>
          </w:p>
        </w:tc>
        <w:tc>
          <w:tcPr>
            <w:tcW w:w="4115" w:type="dxa"/>
            <w:vAlign w:val="center"/>
          </w:tcPr>
          <w:p w:rsidR="0046391F" w:rsidRPr="004D7AC3" w:rsidRDefault="0046391F" w:rsidP="00E44EC3">
            <w:pPr>
              <w:rPr>
                <w:rFonts w:ascii="Times New Roman" w:hAnsi="Times New Roman" w:cs="Times New Roman"/>
                <w:color w:val="FF0000"/>
                <w:sz w:val="20"/>
                <w:szCs w:val="20"/>
              </w:rPr>
            </w:pPr>
          </w:p>
        </w:tc>
        <w:tc>
          <w:tcPr>
            <w:tcW w:w="2635" w:type="dxa"/>
            <w:vAlign w:val="center"/>
          </w:tcPr>
          <w:p w:rsidR="0046391F" w:rsidRPr="004D7AC3" w:rsidRDefault="0046391F" w:rsidP="004D7AC3">
            <w:pPr>
              <w:ind w:left="360"/>
              <w:rPr>
                <w:rFonts w:ascii="Times New Roman" w:hAnsi="Times New Roman" w:cs="Times New Roman"/>
                <w:sz w:val="20"/>
                <w:szCs w:val="20"/>
              </w:rPr>
            </w:pPr>
          </w:p>
        </w:tc>
        <w:tc>
          <w:tcPr>
            <w:tcW w:w="2700" w:type="dxa"/>
            <w:vAlign w:val="center"/>
          </w:tcPr>
          <w:p w:rsidR="0046391F" w:rsidRDefault="0046391F" w:rsidP="004D7AC3">
            <w:pPr>
              <w:rPr>
                <w:rFonts w:ascii="Times New Roman" w:hAnsi="Times New Roman" w:cs="Times New Roman"/>
                <w:sz w:val="20"/>
                <w:szCs w:val="20"/>
              </w:rPr>
            </w:pPr>
          </w:p>
        </w:tc>
      </w:tr>
      <w:tr w:rsidR="00A12A29" w:rsidRPr="00003E7E" w:rsidTr="00A12A29">
        <w:tc>
          <w:tcPr>
            <w:tcW w:w="1975" w:type="dxa"/>
            <w:vMerge/>
            <w:vAlign w:val="center"/>
          </w:tcPr>
          <w:p w:rsidR="00A12A29" w:rsidRPr="00003E7E" w:rsidRDefault="00A12A29" w:rsidP="008D6DB9">
            <w:pPr>
              <w:rPr>
                <w:rFonts w:ascii="Times New Roman" w:hAnsi="Times New Roman" w:cs="Times New Roman"/>
                <w:sz w:val="20"/>
                <w:szCs w:val="20"/>
              </w:rPr>
            </w:pPr>
          </w:p>
        </w:tc>
        <w:tc>
          <w:tcPr>
            <w:tcW w:w="2813" w:type="dxa"/>
            <w:vAlign w:val="center"/>
          </w:tcPr>
          <w:p w:rsidR="00A12A29" w:rsidRDefault="00A12A29" w:rsidP="00846DC4">
            <w:pPr>
              <w:rPr>
                <w:rFonts w:ascii="Times New Roman" w:hAnsi="Times New Roman" w:cs="Times New Roman"/>
                <w:sz w:val="20"/>
                <w:szCs w:val="20"/>
              </w:rPr>
            </w:pPr>
            <w:r>
              <w:rPr>
                <w:rFonts w:ascii="Times New Roman" w:hAnsi="Times New Roman" w:cs="Times New Roman"/>
                <w:sz w:val="20"/>
                <w:szCs w:val="20"/>
              </w:rPr>
              <w:t xml:space="preserve">Finalize efforts to include </w:t>
            </w:r>
          </w:p>
          <w:p w:rsidR="00A12A29" w:rsidRPr="00583452" w:rsidRDefault="00A12A29" w:rsidP="00583452">
            <w:pPr>
              <w:rPr>
                <w:rFonts w:ascii="Times New Roman" w:hAnsi="Times New Roman" w:cs="Times New Roman"/>
                <w:sz w:val="20"/>
                <w:szCs w:val="20"/>
              </w:rPr>
            </w:pPr>
            <w:r>
              <w:rPr>
                <w:rFonts w:ascii="Times New Roman" w:hAnsi="Times New Roman" w:cs="Times New Roman"/>
                <w:sz w:val="20"/>
                <w:szCs w:val="20"/>
              </w:rPr>
              <w:t>CRE on the ‘Notifiable Conditions’ list; so that all cases of CRE would be reportable to Maine CDC for epidemiological study.</w:t>
            </w:r>
          </w:p>
        </w:tc>
        <w:tc>
          <w:tcPr>
            <w:tcW w:w="4115" w:type="dxa"/>
            <w:vAlign w:val="center"/>
          </w:tcPr>
          <w:p w:rsidR="00A12A29" w:rsidRDefault="00A12A29" w:rsidP="00846DC4">
            <w:pPr>
              <w:rPr>
                <w:rFonts w:ascii="Times New Roman" w:hAnsi="Times New Roman" w:cs="Times New Roman"/>
                <w:sz w:val="20"/>
                <w:szCs w:val="20"/>
              </w:rPr>
            </w:pPr>
            <w:r>
              <w:rPr>
                <w:rFonts w:ascii="Times New Roman" w:hAnsi="Times New Roman" w:cs="Times New Roman"/>
                <w:sz w:val="20"/>
                <w:szCs w:val="20"/>
              </w:rPr>
              <w:t>Analyze initial data from CRE as a Notifiable Condition in the state.   Based on first year findings, determine the need for additional guidance for control of CRE beyond the federal CDC 2012 CRE Toolkit.</w:t>
            </w:r>
          </w:p>
        </w:tc>
        <w:tc>
          <w:tcPr>
            <w:tcW w:w="5335" w:type="dxa"/>
            <w:gridSpan w:val="2"/>
            <w:vAlign w:val="center"/>
          </w:tcPr>
          <w:p w:rsidR="00A12A29" w:rsidRDefault="00A12A29" w:rsidP="00846DC4">
            <w:pPr>
              <w:rPr>
                <w:rFonts w:ascii="Times New Roman" w:hAnsi="Times New Roman" w:cs="Times New Roman"/>
                <w:sz w:val="20"/>
                <w:szCs w:val="20"/>
              </w:rPr>
            </w:pPr>
            <w:r w:rsidRPr="00A12A29">
              <w:rPr>
                <w:rFonts w:ascii="Times New Roman" w:hAnsi="Times New Roman" w:cs="Times New Roman"/>
                <w:sz w:val="20"/>
                <w:szCs w:val="20"/>
              </w:rPr>
              <w:t>Include CRE data in the Reportable Infectious Diseases in Maine annual summary report.</w:t>
            </w:r>
          </w:p>
        </w:tc>
      </w:tr>
    </w:tbl>
    <w:p w:rsidR="00C67287" w:rsidRDefault="00C67287"/>
    <w:tbl>
      <w:tblPr>
        <w:tblStyle w:val="TableGrid1"/>
        <w:tblpPr w:leftFromText="180" w:rightFromText="180" w:vertAnchor="page" w:horzAnchor="margin" w:tblpY="1837"/>
        <w:tblW w:w="13594" w:type="dxa"/>
        <w:tblLook w:val="04A0" w:firstRow="1" w:lastRow="0" w:firstColumn="1" w:lastColumn="0" w:noHBand="0" w:noVBand="1"/>
      </w:tblPr>
      <w:tblGrid>
        <w:gridCol w:w="1958"/>
        <w:gridCol w:w="2920"/>
        <w:gridCol w:w="3330"/>
        <w:gridCol w:w="2880"/>
        <w:gridCol w:w="630"/>
        <w:gridCol w:w="1876"/>
      </w:tblGrid>
      <w:tr w:rsidR="00A12A29" w:rsidRPr="00003E7E" w:rsidTr="002722C0">
        <w:trPr>
          <w:gridAfter w:val="1"/>
          <w:wAfter w:w="1876" w:type="dxa"/>
        </w:trPr>
        <w:tc>
          <w:tcPr>
            <w:tcW w:w="11718" w:type="dxa"/>
            <w:gridSpan w:val="5"/>
            <w:shd w:val="clear" w:color="auto" w:fill="B6DDE8" w:themeFill="accent5" w:themeFillTint="66"/>
          </w:tcPr>
          <w:p w:rsidR="00A12A29" w:rsidRPr="00003E7E" w:rsidRDefault="00A12A29" w:rsidP="00003E7E">
            <w:pPr>
              <w:jc w:val="center"/>
              <w:rPr>
                <w:rFonts w:ascii="Times New Roman" w:hAnsi="Times New Roman" w:cs="Times New Roman"/>
                <w:b/>
                <w:sz w:val="24"/>
              </w:rPr>
            </w:pPr>
            <w:r>
              <w:rPr>
                <w:rFonts w:ascii="Times New Roman" w:hAnsi="Times New Roman" w:cs="Times New Roman"/>
                <w:b/>
                <w:sz w:val="24"/>
              </w:rPr>
              <w:t>RESPOND</w:t>
            </w:r>
          </w:p>
        </w:tc>
      </w:tr>
      <w:tr w:rsidR="003E5F65" w:rsidRPr="00003E7E" w:rsidTr="002722C0">
        <w:tc>
          <w:tcPr>
            <w:tcW w:w="13594" w:type="dxa"/>
            <w:gridSpan w:val="6"/>
            <w:shd w:val="clear" w:color="auto" w:fill="B6DDE8" w:themeFill="accent5" w:themeFillTint="66"/>
          </w:tcPr>
          <w:p w:rsidR="003E5F65" w:rsidRPr="00003E7E" w:rsidRDefault="003E5F65" w:rsidP="00003E7E">
            <w:pPr>
              <w:jc w:val="center"/>
              <w:rPr>
                <w:rFonts w:ascii="Times New Roman" w:hAnsi="Times New Roman" w:cs="Times New Roman"/>
                <w:b/>
                <w:sz w:val="24"/>
              </w:rPr>
            </w:pPr>
            <w:r>
              <w:rPr>
                <w:rFonts w:ascii="Times New Roman" w:hAnsi="Times New Roman" w:cs="Times New Roman"/>
                <w:b/>
                <w:sz w:val="24"/>
              </w:rPr>
              <w:t>ANALYZE</w:t>
            </w:r>
          </w:p>
        </w:tc>
      </w:tr>
      <w:tr w:rsidR="0046391F" w:rsidRPr="00003E7E" w:rsidTr="002722C0">
        <w:tc>
          <w:tcPr>
            <w:tcW w:w="1958"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Priorities</w:t>
            </w:r>
          </w:p>
        </w:tc>
        <w:tc>
          <w:tcPr>
            <w:tcW w:w="292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Pr>
                <w:rFonts w:ascii="Times New Roman" w:hAnsi="Times New Roman" w:cs="Times New Roman"/>
                <w:b/>
                <w:sz w:val="24"/>
              </w:rPr>
              <w:t>Year 0 (2015)</w:t>
            </w:r>
          </w:p>
        </w:tc>
        <w:tc>
          <w:tcPr>
            <w:tcW w:w="333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1 (2016)</w:t>
            </w:r>
          </w:p>
        </w:tc>
        <w:tc>
          <w:tcPr>
            <w:tcW w:w="288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2 (2017)</w:t>
            </w:r>
          </w:p>
        </w:tc>
        <w:tc>
          <w:tcPr>
            <w:tcW w:w="2506" w:type="dxa"/>
            <w:gridSpan w:val="2"/>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3 (2018)</w:t>
            </w:r>
          </w:p>
        </w:tc>
      </w:tr>
      <w:tr w:rsidR="0046391F" w:rsidRPr="00003E7E" w:rsidTr="002722C0">
        <w:tc>
          <w:tcPr>
            <w:tcW w:w="1958" w:type="dxa"/>
            <w:vAlign w:val="center"/>
          </w:tcPr>
          <w:p w:rsidR="0046391F" w:rsidRPr="00003E7E" w:rsidRDefault="0046391F" w:rsidP="003E5F65">
            <w:pPr>
              <w:rPr>
                <w:rFonts w:ascii="Times New Roman" w:hAnsi="Times New Roman" w:cs="Times New Roman"/>
                <w:sz w:val="20"/>
                <w:szCs w:val="20"/>
              </w:rPr>
            </w:pPr>
            <w:r w:rsidRPr="00003E7E">
              <w:rPr>
                <w:rFonts w:ascii="Times New Roman" w:hAnsi="Times New Roman" w:cs="Times New Roman"/>
                <w:sz w:val="20"/>
                <w:szCs w:val="20"/>
              </w:rPr>
              <w:t>Prioritize HAI data for statewide surveillance</w:t>
            </w:r>
          </w:p>
        </w:tc>
        <w:tc>
          <w:tcPr>
            <w:tcW w:w="2920" w:type="dxa"/>
            <w:vAlign w:val="center"/>
          </w:tcPr>
          <w:p w:rsidR="0046391F" w:rsidRPr="00003E7E" w:rsidRDefault="0046391F" w:rsidP="007C2EEF">
            <w:pPr>
              <w:rPr>
                <w:rFonts w:ascii="Times New Roman" w:hAnsi="Times New Roman" w:cs="Times New Roman"/>
                <w:sz w:val="20"/>
                <w:szCs w:val="20"/>
              </w:rPr>
            </w:pPr>
            <w:r>
              <w:rPr>
                <w:rFonts w:ascii="Times New Roman" w:hAnsi="Times New Roman" w:cs="Times New Roman"/>
                <w:sz w:val="20"/>
                <w:szCs w:val="20"/>
              </w:rPr>
              <w:t>Review and revise state mandated HAI reporting requirements (Chapter 270)</w:t>
            </w:r>
          </w:p>
        </w:tc>
        <w:tc>
          <w:tcPr>
            <w:tcW w:w="3330" w:type="dxa"/>
            <w:vAlign w:val="center"/>
          </w:tcPr>
          <w:p w:rsidR="004F7BA6" w:rsidRPr="00003E7E" w:rsidRDefault="00880DEC" w:rsidP="007C2EEF">
            <w:pPr>
              <w:rPr>
                <w:rFonts w:ascii="Times New Roman" w:hAnsi="Times New Roman" w:cs="Times New Roman"/>
                <w:sz w:val="20"/>
                <w:szCs w:val="20"/>
              </w:rPr>
            </w:pPr>
            <w:r w:rsidRPr="00003E7E">
              <w:rPr>
                <w:rFonts w:ascii="Times New Roman" w:hAnsi="Times New Roman" w:cs="Times New Roman"/>
                <w:sz w:val="20"/>
                <w:szCs w:val="20"/>
              </w:rPr>
              <w:t>Explore surveillance for LTC facilities, targeting MDROs, antibiotic usage, use of MHDO vs. NHSN for reporting.</w:t>
            </w:r>
          </w:p>
        </w:tc>
        <w:tc>
          <w:tcPr>
            <w:tcW w:w="2880" w:type="dxa"/>
            <w:vAlign w:val="center"/>
          </w:tcPr>
          <w:p w:rsidR="0046391F" w:rsidRPr="00003E7E" w:rsidRDefault="0046391F" w:rsidP="007C2EEF">
            <w:pPr>
              <w:rPr>
                <w:rFonts w:ascii="Times New Roman" w:hAnsi="Times New Roman" w:cs="Times New Roman"/>
                <w:sz w:val="20"/>
                <w:szCs w:val="20"/>
              </w:rPr>
            </w:pPr>
          </w:p>
        </w:tc>
        <w:tc>
          <w:tcPr>
            <w:tcW w:w="2506" w:type="dxa"/>
            <w:gridSpan w:val="2"/>
            <w:vAlign w:val="center"/>
          </w:tcPr>
          <w:p w:rsidR="0046391F" w:rsidRPr="00003E7E" w:rsidRDefault="0046391F" w:rsidP="007C2EEF">
            <w:pPr>
              <w:rPr>
                <w:rFonts w:ascii="Times New Roman" w:hAnsi="Times New Roman" w:cs="Times New Roman"/>
                <w:sz w:val="20"/>
                <w:szCs w:val="20"/>
              </w:rPr>
            </w:pPr>
          </w:p>
        </w:tc>
      </w:tr>
      <w:tr w:rsidR="00164DCD" w:rsidRPr="00003E7E" w:rsidTr="002722C0">
        <w:tc>
          <w:tcPr>
            <w:tcW w:w="1958" w:type="dxa"/>
            <w:vAlign w:val="center"/>
          </w:tcPr>
          <w:p w:rsidR="00164DCD" w:rsidRDefault="00880DEC" w:rsidP="00003E7E">
            <w:pPr>
              <w:rPr>
                <w:rFonts w:ascii="Times New Roman" w:hAnsi="Times New Roman" w:cs="Times New Roman"/>
                <w:sz w:val="20"/>
                <w:szCs w:val="20"/>
              </w:rPr>
            </w:pPr>
            <w:r>
              <w:rPr>
                <w:rFonts w:ascii="Times New Roman" w:hAnsi="Times New Roman" w:cs="Times New Roman"/>
                <w:sz w:val="20"/>
                <w:szCs w:val="20"/>
              </w:rPr>
              <w:t>Ensure quality of HAI data</w:t>
            </w:r>
          </w:p>
        </w:tc>
        <w:tc>
          <w:tcPr>
            <w:tcW w:w="2920" w:type="dxa"/>
            <w:vAlign w:val="center"/>
          </w:tcPr>
          <w:p w:rsidR="00164DCD" w:rsidRDefault="00164DCD" w:rsidP="007C2EEF">
            <w:pPr>
              <w:rPr>
                <w:rFonts w:ascii="Times New Roman" w:hAnsi="Times New Roman" w:cs="Times New Roman"/>
                <w:sz w:val="20"/>
                <w:szCs w:val="20"/>
              </w:rPr>
            </w:pPr>
            <w:r>
              <w:rPr>
                <w:rFonts w:ascii="Times New Roman" w:hAnsi="Times New Roman" w:cs="Times New Roman"/>
                <w:sz w:val="20"/>
                <w:szCs w:val="20"/>
              </w:rPr>
              <w:t xml:space="preserve">Conduct data validation on </w:t>
            </w:r>
            <w:r w:rsidR="00880DEC">
              <w:rPr>
                <w:rFonts w:ascii="Times New Roman" w:hAnsi="Times New Roman" w:cs="Times New Roman"/>
                <w:sz w:val="20"/>
                <w:szCs w:val="20"/>
              </w:rPr>
              <w:t xml:space="preserve">MRSA, </w:t>
            </w:r>
            <w:r>
              <w:rPr>
                <w:rFonts w:ascii="Times New Roman" w:hAnsi="Times New Roman" w:cs="Times New Roman"/>
                <w:sz w:val="20"/>
                <w:szCs w:val="20"/>
              </w:rPr>
              <w:t xml:space="preserve">CAUTI and SSI.  </w:t>
            </w:r>
          </w:p>
        </w:tc>
        <w:tc>
          <w:tcPr>
            <w:tcW w:w="3330" w:type="dxa"/>
            <w:vAlign w:val="center"/>
          </w:tcPr>
          <w:p w:rsidR="00880DEC" w:rsidRDefault="00164DCD" w:rsidP="00880DEC">
            <w:pPr>
              <w:rPr>
                <w:rFonts w:ascii="Times New Roman" w:hAnsi="Times New Roman" w:cs="Times New Roman"/>
                <w:sz w:val="20"/>
                <w:szCs w:val="20"/>
              </w:rPr>
            </w:pPr>
            <w:r>
              <w:rPr>
                <w:rFonts w:ascii="Times New Roman" w:hAnsi="Times New Roman" w:cs="Times New Roman"/>
                <w:sz w:val="20"/>
                <w:szCs w:val="20"/>
              </w:rPr>
              <w:t>Conduct data validation on</w:t>
            </w:r>
          </w:p>
          <w:p w:rsidR="00164DCD" w:rsidRDefault="00880DEC" w:rsidP="00880DEC">
            <w:pPr>
              <w:rPr>
                <w:rFonts w:ascii="Times New Roman" w:hAnsi="Times New Roman" w:cs="Times New Roman"/>
                <w:sz w:val="20"/>
                <w:szCs w:val="20"/>
              </w:rPr>
            </w:pPr>
            <w:r>
              <w:rPr>
                <w:rFonts w:ascii="Times New Roman" w:hAnsi="Times New Roman" w:cs="Times New Roman"/>
                <w:sz w:val="20"/>
                <w:szCs w:val="20"/>
              </w:rPr>
              <w:t xml:space="preserve">CDI, MRSA, </w:t>
            </w:r>
            <w:r w:rsidR="00164DCD">
              <w:rPr>
                <w:rFonts w:ascii="Times New Roman" w:hAnsi="Times New Roman" w:cs="Times New Roman"/>
                <w:sz w:val="20"/>
                <w:szCs w:val="20"/>
              </w:rPr>
              <w:t>CLABSI</w:t>
            </w:r>
          </w:p>
        </w:tc>
        <w:tc>
          <w:tcPr>
            <w:tcW w:w="2880" w:type="dxa"/>
            <w:vAlign w:val="center"/>
          </w:tcPr>
          <w:p w:rsidR="00880DEC" w:rsidRDefault="00164DCD" w:rsidP="007C2EEF">
            <w:pPr>
              <w:rPr>
                <w:rFonts w:ascii="Times New Roman" w:hAnsi="Times New Roman" w:cs="Times New Roman"/>
                <w:sz w:val="20"/>
                <w:szCs w:val="20"/>
              </w:rPr>
            </w:pPr>
            <w:r>
              <w:rPr>
                <w:rFonts w:ascii="Times New Roman" w:hAnsi="Times New Roman" w:cs="Times New Roman"/>
                <w:sz w:val="20"/>
                <w:szCs w:val="20"/>
              </w:rPr>
              <w:t xml:space="preserve">Conduct data validation on </w:t>
            </w:r>
          </w:p>
          <w:p w:rsidR="00164DCD" w:rsidRDefault="00880DEC" w:rsidP="007C2EEF">
            <w:pPr>
              <w:rPr>
                <w:rFonts w:ascii="Times New Roman" w:hAnsi="Times New Roman" w:cs="Times New Roman"/>
                <w:sz w:val="20"/>
                <w:szCs w:val="20"/>
              </w:rPr>
            </w:pPr>
            <w:r>
              <w:rPr>
                <w:rFonts w:ascii="Times New Roman" w:hAnsi="Times New Roman" w:cs="Times New Roman"/>
                <w:sz w:val="20"/>
                <w:szCs w:val="20"/>
              </w:rPr>
              <w:t xml:space="preserve">CDI, MRSA, </w:t>
            </w:r>
            <w:r w:rsidR="00164DCD">
              <w:rPr>
                <w:rFonts w:ascii="Times New Roman" w:hAnsi="Times New Roman" w:cs="Times New Roman"/>
                <w:sz w:val="20"/>
                <w:szCs w:val="20"/>
              </w:rPr>
              <w:t>SSI</w:t>
            </w:r>
          </w:p>
        </w:tc>
        <w:tc>
          <w:tcPr>
            <w:tcW w:w="2506" w:type="dxa"/>
            <w:gridSpan w:val="2"/>
            <w:vAlign w:val="center"/>
          </w:tcPr>
          <w:p w:rsidR="00164DCD" w:rsidRDefault="00164DCD" w:rsidP="007C2EEF">
            <w:pPr>
              <w:rPr>
                <w:rFonts w:ascii="Times New Roman" w:hAnsi="Times New Roman" w:cs="Times New Roman"/>
                <w:sz w:val="20"/>
                <w:szCs w:val="20"/>
              </w:rPr>
            </w:pPr>
            <w:r>
              <w:rPr>
                <w:rFonts w:ascii="Times New Roman" w:hAnsi="Times New Roman" w:cs="Times New Roman"/>
                <w:sz w:val="20"/>
                <w:szCs w:val="20"/>
              </w:rPr>
              <w:t xml:space="preserve">Conduct data validation on </w:t>
            </w:r>
            <w:r w:rsidR="00880DEC">
              <w:rPr>
                <w:rFonts w:ascii="Times New Roman" w:hAnsi="Times New Roman" w:cs="Times New Roman"/>
                <w:sz w:val="20"/>
                <w:szCs w:val="20"/>
              </w:rPr>
              <w:t xml:space="preserve">CDI, MRSA, </w:t>
            </w:r>
            <w:r>
              <w:rPr>
                <w:rFonts w:ascii="Times New Roman" w:hAnsi="Times New Roman" w:cs="Times New Roman"/>
                <w:sz w:val="20"/>
                <w:szCs w:val="20"/>
              </w:rPr>
              <w:t>CAUTI</w:t>
            </w:r>
          </w:p>
        </w:tc>
      </w:tr>
      <w:tr w:rsidR="00BE2676" w:rsidRPr="00003E7E" w:rsidTr="00357510">
        <w:tc>
          <w:tcPr>
            <w:tcW w:w="1958" w:type="dxa"/>
            <w:vMerge w:val="restart"/>
            <w:vAlign w:val="center"/>
          </w:tcPr>
          <w:p w:rsidR="00BE2676" w:rsidRDefault="00BE2676" w:rsidP="00BC0657">
            <w:pPr>
              <w:rPr>
                <w:rFonts w:ascii="Times New Roman" w:hAnsi="Times New Roman" w:cs="Times New Roman"/>
                <w:sz w:val="20"/>
                <w:szCs w:val="20"/>
              </w:rPr>
            </w:pPr>
            <w:r w:rsidRPr="00003E7E">
              <w:rPr>
                <w:rFonts w:ascii="Times New Roman" w:hAnsi="Times New Roman" w:cs="Times New Roman"/>
                <w:sz w:val="20"/>
                <w:szCs w:val="20"/>
              </w:rPr>
              <w:t>Ensure surveillance data is available to key stakeholders</w:t>
            </w:r>
          </w:p>
        </w:tc>
        <w:tc>
          <w:tcPr>
            <w:tcW w:w="11636" w:type="dxa"/>
            <w:gridSpan w:val="5"/>
          </w:tcPr>
          <w:p w:rsidR="00BE2676" w:rsidRDefault="00BE2676" w:rsidP="00BE2676">
            <w:pPr>
              <w:jc w:val="center"/>
            </w:pPr>
            <w:r>
              <w:t xml:space="preserve">Legislature and Public:  </w:t>
            </w:r>
            <w:r w:rsidRPr="00650F9D">
              <w:t xml:space="preserve">State HAI Annual </w:t>
            </w:r>
            <w:r>
              <w:t>Report issued by MHDO/MQF.</w:t>
            </w:r>
          </w:p>
        </w:tc>
      </w:tr>
      <w:tr w:rsidR="00BE2676" w:rsidRPr="00003E7E" w:rsidTr="00A12A29">
        <w:tc>
          <w:tcPr>
            <w:tcW w:w="1958" w:type="dxa"/>
            <w:vMerge/>
            <w:vAlign w:val="center"/>
          </w:tcPr>
          <w:p w:rsidR="00BE2676" w:rsidRDefault="00BE2676" w:rsidP="00BC0657">
            <w:pPr>
              <w:rPr>
                <w:rFonts w:ascii="Times New Roman" w:hAnsi="Times New Roman" w:cs="Times New Roman"/>
                <w:sz w:val="20"/>
                <w:szCs w:val="20"/>
              </w:rPr>
            </w:pPr>
          </w:p>
        </w:tc>
        <w:tc>
          <w:tcPr>
            <w:tcW w:w="11636" w:type="dxa"/>
            <w:gridSpan w:val="5"/>
            <w:vAlign w:val="center"/>
          </w:tcPr>
          <w:p w:rsidR="00BE2676" w:rsidRDefault="00BE2676" w:rsidP="00A12A29">
            <w:pPr>
              <w:jc w:val="center"/>
            </w:pPr>
            <w:r>
              <w:t>Acute Care:  CEO Dashboard Reports issued</w:t>
            </w:r>
            <w:r w:rsidR="00C91A1D">
              <w:t xml:space="preserve"> annually</w:t>
            </w:r>
            <w:r>
              <w:t xml:space="preserve"> by Maine CDC; facility specific trend of HAI and prevention data.</w:t>
            </w:r>
          </w:p>
        </w:tc>
      </w:tr>
      <w:tr w:rsidR="00EF6D73" w:rsidRPr="00003E7E" w:rsidTr="00960BC6">
        <w:tc>
          <w:tcPr>
            <w:tcW w:w="1958" w:type="dxa"/>
            <w:vAlign w:val="center"/>
          </w:tcPr>
          <w:p w:rsidR="00EF6D73" w:rsidRPr="00003E7E" w:rsidRDefault="00EF6D73" w:rsidP="007C2EEF">
            <w:pPr>
              <w:rPr>
                <w:rFonts w:ascii="Times New Roman" w:hAnsi="Times New Roman" w:cs="Times New Roman"/>
                <w:sz w:val="20"/>
                <w:szCs w:val="20"/>
              </w:rPr>
            </w:pPr>
            <w:r>
              <w:rPr>
                <w:rFonts w:ascii="Times New Roman" w:hAnsi="Times New Roman" w:cs="Times New Roman"/>
                <w:sz w:val="20"/>
                <w:szCs w:val="20"/>
              </w:rPr>
              <w:t>Increase</w:t>
            </w:r>
            <w:r w:rsidRPr="00003E7E">
              <w:rPr>
                <w:rFonts w:ascii="Times New Roman" w:hAnsi="Times New Roman" w:cs="Times New Roman"/>
                <w:sz w:val="20"/>
                <w:szCs w:val="20"/>
              </w:rPr>
              <w:t xml:space="preserve"> data analysis</w:t>
            </w:r>
          </w:p>
        </w:tc>
        <w:tc>
          <w:tcPr>
            <w:tcW w:w="2920" w:type="dxa"/>
          </w:tcPr>
          <w:p w:rsidR="00EF6D73" w:rsidRPr="00C74456" w:rsidRDefault="00EF6D73" w:rsidP="00376BB7">
            <w:pPr>
              <w:ind w:left="360"/>
              <w:rPr>
                <w:rFonts w:ascii="Times New Roman" w:hAnsi="Times New Roman" w:cs="Times New Roman"/>
                <w:color w:val="FF0000"/>
                <w:sz w:val="20"/>
                <w:szCs w:val="20"/>
              </w:rPr>
            </w:pPr>
          </w:p>
        </w:tc>
        <w:tc>
          <w:tcPr>
            <w:tcW w:w="8716" w:type="dxa"/>
            <w:gridSpan w:val="4"/>
          </w:tcPr>
          <w:p w:rsidR="00EF6D73" w:rsidRPr="00BF7C01" w:rsidRDefault="00EF6D73" w:rsidP="00EF6D73">
            <w:pPr>
              <w:rPr>
                <w:rFonts w:ascii="Times New Roman" w:hAnsi="Times New Roman" w:cs="Times New Roman"/>
                <w:color w:val="FF0000"/>
                <w:sz w:val="20"/>
                <w:szCs w:val="20"/>
              </w:rPr>
            </w:pPr>
            <w:r w:rsidRPr="00BF7C01">
              <w:rPr>
                <w:rFonts w:ascii="Times New Roman" w:hAnsi="Times New Roman" w:cs="Times New Roman"/>
                <w:color w:val="FF0000"/>
                <w:sz w:val="20"/>
                <w:szCs w:val="20"/>
              </w:rPr>
              <w:t>Develop and implement the Data Analysis by Region for Trends (DART) Program.</w:t>
            </w:r>
          </w:p>
          <w:p w:rsidR="00EF6D73" w:rsidRPr="00003E7E" w:rsidRDefault="00D62EEE" w:rsidP="00EF6D73">
            <w:pPr>
              <w:rPr>
                <w:rFonts w:ascii="Times New Roman" w:hAnsi="Times New Roman" w:cs="Times New Roman"/>
                <w:sz w:val="20"/>
                <w:szCs w:val="20"/>
              </w:rPr>
            </w:pPr>
            <w:r w:rsidRPr="00BF7C01">
              <w:rPr>
                <w:rFonts w:ascii="Times New Roman" w:hAnsi="Times New Roman" w:cs="Times New Roman"/>
                <w:color w:val="FF0000"/>
                <w:sz w:val="20"/>
                <w:szCs w:val="20"/>
              </w:rPr>
              <w:t>Utilize data from infections, outbreaks, antibiotic resistance, etc. to identify geographic location in which to target assessment and prevention efforts.</w:t>
            </w:r>
          </w:p>
        </w:tc>
      </w:tr>
    </w:tbl>
    <w:p w:rsidR="00C67287" w:rsidRDefault="00C67287">
      <w:r>
        <w:br w:type="page"/>
      </w:r>
    </w:p>
    <w:tbl>
      <w:tblPr>
        <w:tblStyle w:val="TableGrid1"/>
        <w:tblpPr w:leftFromText="180" w:rightFromText="180" w:vertAnchor="page" w:horzAnchor="margin" w:tblpY="1837"/>
        <w:tblW w:w="13788" w:type="dxa"/>
        <w:tblLook w:val="04A0" w:firstRow="1" w:lastRow="0" w:firstColumn="1" w:lastColumn="0" w:noHBand="0" w:noVBand="1"/>
      </w:tblPr>
      <w:tblGrid>
        <w:gridCol w:w="2340"/>
        <w:gridCol w:w="2448"/>
        <w:gridCol w:w="3420"/>
        <w:gridCol w:w="3060"/>
        <w:gridCol w:w="2520"/>
      </w:tblGrid>
      <w:tr w:rsidR="0046391F" w:rsidRPr="00003E7E" w:rsidTr="002722C0">
        <w:tc>
          <w:tcPr>
            <w:tcW w:w="13788" w:type="dxa"/>
            <w:gridSpan w:val="5"/>
            <w:shd w:val="clear" w:color="auto" w:fill="B6DDE8" w:themeFill="accent5" w:themeFillTint="66"/>
          </w:tcPr>
          <w:p w:rsidR="0046391F" w:rsidRPr="00003E7E" w:rsidRDefault="0046391F" w:rsidP="00003E7E">
            <w:pPr>
              <w:jc w:val="center"/>
              <w:rPr>
                <w:rFonts w:ascii="Times New Roman" w:hAnsi="Times New Roman" w:cs="Times New Roman"/>
                <w:b/>
                <w:sz w:val="24"/>
              </w:rPr>
            </w:pPr>
            <w:r>
              <w:rPr>
                <w:rFonts w:ascii="Times New Roman" w:hAnsi="Times New Roman" w:cs="Times New Roman"/>
                <w:b/>
                <w:sz w:val="24"/>
              </w:rPr>
              <w:lastRenderedPageBreak/>
              <w:t>PREVENT</w:t>
            </w:r>
          </w:p>
        </w:tc>
      </w:tr>
      <w:tr w:rsidR="0046391F" w:rsidRPr="00003E7E" w:rsidTr="002722C0">
        <w:tc>
          <w:tcPr>
            <w:tcW w:w="234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Priorities</w:t>
            </w:r>
          </w:p>
        </w:tc>
        <w:tc>
          <w:tcPr>
            <w:tcW w:w="2448"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Pr>
                <w:rFonts w:ascii="Times New Roman" w:hAnsi="Times New Roman" w:cs="Times New Roman"/>
                <w:b/>
                <w:sz w:val="24"/>
              </w:rPr>
              <w:t>Year 0 (2015)</w:t>
            </w:r>
          </w:p>
        </w:tc>
        <w:tc>
          <w:tcPr>
            <w:tcW w:w="342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1 (2016)</w:t>
            </w:r>
          </w:p>
        </w:tc>
        <w:tc>
          <w:tcPr>
            <w:tcW w:w="306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2 (2017)</w:t>
            </w:r>
          </w:p>
        </w:tc>
        <w:tc>
          <w:tcPr>
            <w:tcW w:w="252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3 (2018)</w:t>
            </w:r>
          </w:p>
        </w:tc>
      </w:tr>
      <w:tr w:rsidR="00CB269C" w:rsidRPr="00003E7E" w:rsidTr="002722C0">
        <w:tc>
          <w:tcPr>
            <w:tcW w:w="2340" w:type="dxa"/>
            <w:vMerge w:val="restart"/>
            <w:vAlign w:val="center"/>
          </w:tcPr>
          <w:p w:rsidR="00CB269C" w:rsidRPr="00003E7E" w:rsidRDefault="00CB269C" w:rsidP="00003E7E">
            <w:pPr>
              <w:rPr>
                <w:rFonts w:ascii="Times New Roman" w:hAnsi="Times New Roman" w:cs="Times New Roman"/>
                <w:sz w:val="20"/>
                <w:szCs w:val="20"/>
              </w:rPr>
            </w:pPr>
            <w:r>
              <w:rPr>
                <w:rFonts w:ascii="Times New Roman" w:hAnsi="Times New Roman" w:cs="Times New Roman"/>
                <w:sz w:val="20"/>
                <w:szCs w:val="20"/>
              </w:rPr>
              <w:t xml:space="preserve">Provide education and training </w:t>
            </w:r>
          </w:p>
        </w:tc>
        <w:tc>
          <w:tcPr>
            <w:tcW w:w="2448" w:type="dxa"/>
          </w:tcPr>
          <w:p w:rsidR="00CB269C" w:rsidRPr="00AE6C26" w:rsidRDefault="00CB269C" w:rsidP="00CB269C">
            <w:pPr>
              <w:rPr>
                <w:rFonts w:ascii="Times New Roman" w:hAnsi="Times New Roman" w:cs="Times New Roman"/>
                <w:b/>
                <w:sz w:val="20"/>
                <w:szCs w:val="20"/>
                <w:highlight w:val="yellow"/>
              </w:rPr>
            </w:pPr>
          </w:p>
        </w:tc>
        <w:tc>
          <w:tcPr>
            <w:tcW w:w="3420" w:type="dxa"/>
          </w:tcPr>
          <w:p w:rsidR="00CB269C" w:rsidRPr="00CB269C" w:rsidRDefault="00CB269C" w:rsidP="00CB269C">
            <w:pPr>
              <w:rPr>
                <w:rFonts w:ascii="Times New Roman" w:hAnsi="Times New Roman" w:cs="Times New Roman"/>
                <w:sz w:val="20"/>
                <w:szCs w:val="20"/>
              </w:rPr>
            </w:pPr>
            <w:r>
              <w:rPr>
                <w:rFonts w:ascii="Times New Roman" w:hAnsi="Times New Roman" w:cs="Times New Roman"/>
                <w:sz w:val="20"/>
                <w:szCs w:val="20"/>
              </w:rPr>
              <w:t>Build resource list or library of various educational tools, presentations, etc. that have been created.  Share repository with healthcare facilities in state.</w:t>
            </w:r>
          </w:p>
        </w:tc>
        <w:tc>
          <w:tcPr>
            <w:tcW w:w="3060" w:type="dxa"/>
          </w:tcPr>
          <w:p w:rsidR="00CB269C" w:rsidRPr="00CB269C" w:rsidRDefault="00CB269C" w:rsidP="00CB269C">
            <w:pPr>
              <w:rPr>
                <w:rFonts w:ascii="Times New Roman" w:hAnsi="Times New Roman" w:cs="Times New Roman"/>
                <w:sz w:val="20"/>
                <w:szCs w:val="20"/>
              </w:rPr>
            </w:pPr>
            <w:r>
              <w:rPr>
                <w:rFonts w:ascii="Times New Roman" w:hAnsi="Times New Roman" w:cs="Times New Roman"/>
                <w:sz w:val="20"/>
                <w:szCs w:val="20"/>
              </w:rPr>
              <w:t xml:space="preserve">Promote patient education ‘What you can do to help prevent infection’.  Explore public service announcement, </w:t>
            </w:r>
            <w:proofErr w:type="spellStart"/>
            <w:r>
              <w:rPr>
                <w:rFonts w:ascii="Times New Roman" w:hAnsi="Times New Roman" w:cs="Times New Roman"/>
                <w:sz w:val="20"/>
                <w:szCs w:val="20"/>
              </w:rPr>
              <w:t>facebook</w:t>
            </w:r>
            <w:proofErr w:type="spellEnd"/>
            <w:r>
              <w:rPr>
                <w:rFonts w:ascii="Times New Roman" w:hAnsi="Times New Roman" w:cs="Times New Roman"/>
                <w:sz w:val="20"/>
                <w:szCs w:val="20"/>
              </w:rPr>
              <w:t>, twitter, radio spots, newspaper, website, etc.</w:t>
            </w:r>
          </w:p>
        </w:tc>
        <w:tc>
          <w:tcPr>
            <w:tcW w:w="2520" w:type="dxa"/>
          </w:tcPr>
          <w:p w:rsidR="00CB269C" w:rsidRPr="00CB269C" w:rsidRDefault="00CB269C" w:rsidP="00CB269C">
            <w:pPr>
              <w:ind w:left="360"/>
              <w:rPr>
                <w:rFonts w:ascii="Times New Roman" w:hAnsi="Times New Roman" w:cs="Times New Roman"/>
                <w:sz w:val="20"/>
                <w:szCs w:val="20"/>
              </w:rPr>
            </w:pPr>
          </w:p>
        </w:tc>
      </w:tr>
      <w:tr w:rsidR="00CB269C" w:rsidRPr="00003E7E" w:rsidTr="002722C0">
        <w:tc>
          <w:tcPr>
            <w:tcW w:w="2340" w:type="dxa"/>
            <w:vMerge/>
            <w:vAlign w:val="center"/>
          </w:tcPr>
          <w:p w:rsidR="00CB269C" w:rsidRDefault="00CB269C" w:rsidP="00003E7E">
            <w:pPr>
              <w:rPr>
                <w:rFonts w:ascii="Times New Roman" w:hAnsi="Times New Roman" w:cs="Times New Roman"/>
                <w:sz w:val="20"/>
                <w:szCs w:val="20"/>
              </w:rPr>
            </w:pPr>
          </w:p>
        </w:tc>
        <w:tc>
          <w:tcPr>
            <w:tcW w:w="2448" w:type="dxa"/>
          </w:tcPr>
          <w:p w:rsidR="00CB269C" w:rsidRPr="00AE6C26" w:rsidRDefault="00CB269C" w:rsidP="00CB269C">
            <w:pPr>
              <w:rPr>
                <w:rFonts w:ascii="Times New Roman" w:hAnsi="Times New Roman" w:cs="Times New Roman"/>
                <w:b/>
                <w:sz w:val="20"/>
                <w:szCs w:val="20"/>
                <w:highlight w:val="yellow"/>
              </w:rPr>
            </w:pPr>
          </w:p>
        </w:tc>
        <w:tc>
          <w:tcPr>
            <w:tcW w:w="3420" w:type="dxa"/>
          </w:tcPr>
          <w:p w:rsidR="00CB269C" w:rsidRDefault="006B5F34" w:rsidP="00CB269C">
            <w:pPr>
              <w:rPr>
                <w:rFonts w:ascii="Times New Roman" w:hAnsi="Times New Roman" w:cs="Times New Roman"/>
                <w:sz w:val="20"/>
                <w:szCs w:val="20"/>
              </w:rPr>
            </w:pPr>
            <w:r>
              <w:rPr>
                <w:rFonts w:ascii="Times New Roman" w:hAnsi="Times New Roman" w:cs="Times New Roman"/>
                <w:sz w:val="20"/>
                <w:szCs w:val="20"/>
              </w:rPr>
              <w:t>Explore logistics of holding a</w:t>
            </w:r>
            <w:r w:rsidR="00CB269C">
              <w:rPr>
                <w:rFonts w:ascii="Times New Roman" w:hAnsi="Times New Roman" w:cs="Times New Roman"/>
                <w:sz w:val="20"/>
                <w:szCs w:val="20"/>
              </w:rPr>
              <w:t xml:space="preserve"> bi-annual HAI </w:t>
            </w:r>
            <w:r w:rsidR="00D32A45">
              <w:rPr>
                <w:rFonts w:ascii="Times New Roman" w:hAnsi="Times New Roman" w:cs="Times New Roman"/>
                <w:sz w:val="20"/>
                <w:szCs w:val="20"/>
              </w:rPr>
              <w:t xml:space="preserve">prevention </w:t>
            </w:r>
            <w:r w:rsidR="00CB269C">
              <w:rPr>
                <w:rFonts w:ascii="Times New Roman" w:hAnsi="Times New Roman" w:cs="Times New Roman"/>
                <w:sz w:val="20"/>
                <w:szCs w:val="20"/>
              </w:rPr>
              <w:t>conference</w:t>
            </w:r>
            <w:r>
              <w:rPr>
                <w:rFonts w:ascii="Times New Roman" w:hAnsi="Times New Roman" w:cs="Times New Roman"/>
                <w:sz w:val="20"/>
                <w:szCs w:val="20"/>
              </w:rPr>
              <w:t xml:space="preserve">.  </w:t>
            </w:r>
          </w:p>
        </w:tc>
        <w:tc>
          <w:tcPr>
            <w:tcW w:w="3060" w:type="dxa"/>
          </w:tcPr>
          <w:p w:rsidR="00CB269C" w:rsidRDefault="00CB269C" w:rsidP="00CB269C">
            <w:pPr>
              <w:rPr>
                <w:rFonts w:ascii="Times New Roman" w:hAnsi="Times New Roman" w:cs="Times New Roman"/>
                <w:sz w:val="20"/>
                <w:szCs w:val="20"/>
              </w:rPr>
            </w:pPr>
          </w:p>
        </w:tc>
        <w:tc>
          <w:tcPr>
            <w:tcW w:w="2520" w:type="dxa"/>
          </w:tcPr>
          <w:p w:rsidR="00CB269C" w:rsidRDefault="00CB269C" w:rsidP="00CB269C">
            <w:pPr>
              <w:rPr>
                <w:rFonts w:ascii="Times New Roman" w:hAnsi="Times New Roman" w:cs="Times New Roman"/>
                <w:sz w:val="20"/>
                <w:szCs w:val="20"/>
              </w:rPr>
            </w:pPr>
          </w:p>
        </w:tc>
      </w:tr>
      <w:tr w:rsidR="00D32A45" w:rsidRPr="00003E7E" w:rsidTr="00161254">
        <w:tc>
          <w:tcPr>
            <w:tcW w:w="2340" w:type="dxa"/>
            <w:vMerge/>
            <w:vAlign w:val="center"/>
          </w:tcPr>
          <w:p w:rsidR="00D32A45" w:rsidRDefault="00D32A45" w:rsidP="00003E7E">
            <w:pPr>
              <w:rPr>
                <w:rFonts w:ascii="Times New Roman" w:hAnsi="Times New Roman" w:cs="Times New Roman"/>
                <w:sz w:val="20"/>
                <w:szCs w:val="20"/>
              </w:rPr>
            </w:pPr>
          </w:p>
        </w:tc>
        <w:tc>
          <w:tcPr>
            <w:tcW w:w="2448" w:type="dxa"/>
          </w:tcPr>
          <w:p w:rsidR="00D32A45" w:rsidRPr="00AE6C26" w:rsidRDefault="00D32A45" w:rsidP="00CB269C">
            <w:pPr>
              <w:rPr>
                <w:rFonts w:ascii="Times New Roman" w:hAnsi="Times New Roman" w:cs="Times New Roman"/>
                <w:b/>
                <w:sz w:val="20"/>
                <w:szCs w:val="20"/>
                <w:highlight w:val="yellow"/>
              </w:rPr>
            </w:pPr>
          </w:p>
        </w:tc>
        <w:tc>
          <w:tcPr>
            <w:tcW w:w="9000" w:type="dxa"/>
            <w:gridSpan w:val="3"/>
          </w:tcPr>
          <w:p w:rsidR="00D32A45" w:rsidRDefault="00D32A45" w:rsidP="00D32A45">
            <w:pPr>
              <w:jc w:val="center"/>
              <w:rPr>
                <w:rFonts w:ascii="Times New Roman" w:hAnsi="Times New Roman" w:cs="Times New Roman"/>
                <w:sz w:val="20"/>
                <w:szCs w:val="20"/>
              </w:rPr>
            </w:pPr>
            <w:r w:rsidRPr="006D3D44">
              <w:rPr>
                <w:rFonts w:ascii="Times New Roman" w:hAnsi="Times New Roman" w:cs="Times New Roman"/>
                <w:sz w:val="20"/>
                <w:szCs w:val="20"/>
                <w:highlight w:val="yellow"/>
              </w:rPr>
              <w:t>Promote International Infection Prevention Week (APIC) – October</w:t>
            </w:r>
          </w:p>
        </w:tc>
      </w:tr>
      <w:tr w:rsidR="00CB269C" w:rsidRPr="00003E7E" w:rsidTr="002722C0">
        <w:tc>
          <w:tcPr>
            <w:tcW w:w="2340" w:type="dxa"/>
            <w:vMerge/>
            <w:vAlign w:val="center"/>
          </w:tcPr>
          <w:p w:rsidR="00CB269C" w:rsidRDefault="00CB269C" w:rsidP="00003E7E">
            <w:pPr>
              <w:rPr>
                <w:rFonts w:ascii="Times New Roman" w:hAnsi="Times New Roman" w:cs="Times New Roman"/>
                <w:sz w:val="20"/>
                <w:szCs w:val="20"/>
              </w:rPr>
            </w:pPr>
          </w:p>
        </w:tc>
        <w:tc>
          <w:tcPr>
            <w:tcW w:w="2448" w:type="dxa"/>
          </w:tcPr>
          <w:p w:rsidR="00CB269C" w:rsidRPr="00AE6C26" w:rsidRDefault="00CB269C" w:rsidP="00CB269C">
            <w:pPr>
              <w:rPr>
                <w:rFonts w:ascii="Times New Roman" w:hAnsi="Times New Roman" w:cs="Times New Roman"/>
                <w:b/>
                <w:sz w:val="20"/>
                <w:szCs w:val="20"/>
                <w:highlight w:val="yellow"/>
              </w:rPr>
            </w:pPr>
          </w:p>
        </w:tc>
        <w:tc>
          <w:tcPr>
            <w:tcW w:w="3420" w:type="dxa"/>
          </w:tcPr>
          <w:p w:rsidR="00CB269C" w:rsidRPr="000F28A6" w:rsidRDefault="00CB269C" w:rsidP="00CB269C">
            <w:pPr>
              <w:rPr>
                <w:rFonts w:ascii="Times New Roman" w:hAnsi="Times New Roman" w:cs="Times New Roman"/>
                <w:sz w:val="20"/>
                <w:szCs w:val="20"/>
              </w:rPr>
            </w:pPr>
            <w:r>
              <w:rPr>
                <w:rFonts w:ascii="Times New Roman" w:hAnsi="Times New Roman" w:cs="Times New Roman"/>
                <w:color w:val="FF0000"/>
                <w:sz w:val="20"/>
                <w:szCs w:val="20"/>
              </w:rPr>
              <w:t xml:space="preserve">Explore requiring </w:t>
            </w:r>
            <w:r w:rsidRPr="00F7201F">
              <w:rPr>
                <w:rFonts w:ascii="Times New Roman" w:hAnsi="Times New Roman" w:cs="Times New Roman"/>
                <w:color w:val="FF0000"/>
                <w:sz w:val="20"/>
                <w:szCs w:val="20"/>
              </w:rPr>
              <w:t xml:space="preserve">Infection Prevention and Control </w:t>
            </w:r>
            <w:r>
              <w:rPr>
                <w:rFonts w:ascii="Times New Roman" w:hAnsi="Times New Roman" w:cs="Times New Roman"/>
                <w:color w:val="FF0000"/>
                <w:sz w:val="20"/>
                <w:szCs w:val="20"/>
              </w:rPr>
              <w:t xml:space="preserve">staffing </w:t>
            </w:r>
            <w:r w:rsidRPr="00F7201F">
              <w:rPr>
                <w:rFonts w:ascii="Times New Roman" w:hAnsi="Times New Roman" w:cs="Times New Roman"/>
                <w:color w:val="FF0000"/>
                <w:sz w:val="20"/>
                <w:szCs w:val="20"/>
              </w:rPr>
              <w:t>capacity</w:t>
            </w:r>
            <w:r>
              <w:rPr>
                <w:rFonts w:ascii="Times New Roman" w:hAnsi="Times New Roman" w:cs="Times New Roman"/>
                <w:color w:val="FF0000"/>
                <w:sz w:val="20"/>
                <w:szCs w:val="20"/>
              </w:rPr>
              <w:t xml:space="preserve"> levels. </w:t>
            </w:r>
          </w:p>
          <w:p w:rsidR="00CB269C" w:rsidRDefault="00CB269C" w:rsidP="00CB269C">
            <w:pPr>
              <w:rPr>
                <w:rFonts w:ascii="Times New Roman" w:hAnsi="Times New Roman" w:cs="Times New Roman"/>
                <w:sz w:val="20"/>
                <w:szCs w:val="20"/>
              </w:rPr>
            </w:pPr>
            <w:r>
              <w:rPr>
                <w:rFonts w:ascii="Times New Roman" w:hAnsi="Times New Roman" w:cs="Times New Roman"/>
                <w:color w:val="FF0000"/>
                <w:sz w:val="20"/>
                <w:szCs w:val="20"/>
              </w:rPr>
              <w:t xml:space="preserve">Explore requiring infection control and prevention </w:t>
            </w:r>
            <w:r w:rsidRPr="00F7201F">
              <w:rPr>
                <w:rFonts w:ascii="Times New Roman" w:hAnsi="Times New Roman" w:cs="Times New Roman"/>
                <w:color w:val="FF0000"/>
                <w:sz w:val="20"/>
                <w:szCs w:val="20"/>
              </w:rPr>
              <w:t>competency as part of licensing or credentialing</w:t>
            </w:r>
            <w:r>
              <w:rPr>
                <w:rFonts w:ascii="Times New Roman" w:hAnsi="Times New Roman" w:cs="Times New Roman"/>
                <w:color w:val="FF0000"/>
                <w:sz w:val="20"/>
                <w:szCs w:val="20"/>
              </w:rPr>
              <w:t xml:space="preserve"> for providers.</w:t>
            </w:r>
          </w:p>
        </w:tc>
        <w:tc>
          <w:tcPr>
            <w:tcW w:w="3060" w:type="dxa"/>
          </w:tcPr>
          <w:p w:rsidR="00CB269C" w:rsidRDefault="00CB269C" w:rsidP="00CB269C">
            <w:pPr>
              <w:rPr>
                <w:rFonts w:ascii="Times New Roman" w:hAnsi="Times New Roman" w:cs="Times New Roman"/>
                <w:sz w:val="20"/>
                <w:szCs w:val="20"/>
              </w:rPr>
            </w:pPr>
          </w:p>
        </w:tc>
        <w:tc>
          <w:tcPr>
            <w:tcW w:w="2520" w:type="dxa"/>
          </w:tcPr>
          <w:p w:rsidR="00CB269C" w:rsidRPr="00CB269C" w:rsidRDefault="00CB269C" w:rsidP="00CB269C">
            <w:pPr>
              <w:rPr>
                <w:rFonts w:ascii="Times New Roman" w:hAnsi="Times New Roman" w:cs="Times New Roman"/>
                <w:sz w:val="20"/>
                <w:szCs w:val="20"/>
              </w:rPr>
            </w:pPr>
          </w:p>
        </w:tc>
      </w:tr>
      <w:tr w:rsidR="00D32A45" w:rsidRPr="00003E7E" w:rsidTr="00347A36">
        <w:tc>
          <w:tcPr>
            <w:tcW w:w="2340" w:type="dxa"/>
            <w:vMerge w:val="restart"/>
            <w:vAlign w:val="center"/>
          </w:tcPr>
          <w:p w:rsidR="00D32A45" w:rsidRPr="00003E7E" w:rsidRDefault="00D32A45" w:rsidP="00003E7E">
            <w:pPr>
              <w:rPr>
                <w:rFonts w:ascii="Times New Roman" w:hAnsi="Times New Roman" w:cs="Times New Roman"/>
                <w:sz w:val="20"/>
                <w:szCs w:val="20"/>
              </w:rPr>
            </w:pPr>
            <w:r w:rsidRPr="00003E7E">
              <w:rPr>
                <w:rFonts w:ascii="Times New Roman" w:hAnsi="Times New Roman" w:cs="Times New Roman"/>
                <w:sz w:val="20"/>
                <w:szCs w:val="20"/>
              </w:rPr>
              <w:t>Engage in infection prevention activities.</w:t>
            </w:r>
          </w:p>
        </w:tc>
        <w:tc>
          <w:tcPr>
            <w:tcW w:w="2448" w:type="dxa"/>
          </w:tcPr>
          <w:p w:rsidR="00D32A45" w:rsidRPr="00AE6C26" w:rsidRDefault="00D32A45" w:rsidP="00CB269C">
            <w:pPr>
              <w:rPr>
                <w:rFonts w:ascii="Times New Roman" w:hAnsi="Times New Roman" w:cs="Times New Roman"/>
                <w:color w:val="FF0000"/>
                <w:sz w:val="20"/>
                <w:szCs w:val="20"/>
              </w:rPr>
            </w:pPr>
          </w:p>
        </w:tc>
        <w:tc>
          <w:tcPr>
            <w:tcW w:w="9000" w:type="dxa"/>
            <w:gridSpan w:val="3"/>
          </w:tcPr>
          <w:p w:rsidR="00D32A45" w:rsidRDefault="00D32A45" w:rsidP="00CB269C">
            <w:pPr>
              <w:rPr>
                <w:rFonts w:ascii="Times New Roman" w:hAnsi="Times New Roman" w:cs="Times New Roman"/>
                <w:color w:val="FF0000"/>
                <w:sz w:val="20"/>
                <w:szCs w:val="20"/>
              </w:rPr>
            </w:pPr>
            <w:r>
              <w:rPr>
                <w:rFonts w:ascii="Times New Roman" w:hAnsi="Times New Roman" w:cs="Times New Roman"/>
                <w:color w:val="FF0000"/>
                <w:sz w:val="20"/>
                <w:szCs w:val="20"/>
              </w:rPr>
              <w:t xml:space="preserve">Develop and implement Infection Control Assessment and Promotion (ICAP) Program.  </w:t>
            </w:r>
          </w:p>
          <w:p w:rsidR="006D3D44" w:rsidRPr="00BF7C01" w:rsidRDefault="00BF7C01" w:rsidP="00CB269C">
            <w:pPr>
              <w:rPr>
                <w:rFonts w:ascii="Times New Roman" w:hAnsi="Times New Roman" w:cs="Times New Roman"/>
                <w:color w:val="FF0000"/>
                <w:sz w:val="20"/>
                <w:szCs w:val="20"/>
              </w:rPr>
            </w:pPr>
            <w:r>
              <w:rPr>
                <w:rFonts w:ascii="Times New Roman" w:hAnsi="Times New Roman" w:cs="Times New Roman"/>
                <w:color w:val="FF0000"/>
                <w:sz w:val="20"/>
                <w:szCs w:val="20"/>
              </w:rPr>
              <w:t>Based on data from the DART Program, p</w:t>
            </w:r>
            <w:r w:rsidR="00D32A45">
              <w:rPr>
                <w:rFonts w:ascii="Times New Roman" w:hAnsi="Times New Roman" w:cs="Times New Roman"/>
                <w:color w:val="FF0000"/>
                <w:sz w:val="20"/>
                <w:szCs w:val="20"/>
              </w:rPr>
              <w:t>erform targeted assessments in infe</w:t>
            </w:r>
            <w:r>
              <w:rPr>
                <w:rFonts w:ascii="Times New Roman" w:hAnsi="Times New Roman" w:cs="Times New Roman"/>
                <w:color w:val="FF0000"/>
                <w:sz w:val="20"/>
                <w:szCs w:val="20"/>
              </w:rPr>
              <w:t xml:space="preserve">ction prevention and control competency in core domains at healthcare </w:t>
            </w:r>
            <w:r w:rsidR="00D32A45">
              <w:rPr>
                <w:rFonts w:ascii="Times New Roman" w:hAnsi="Times New Roman" w:cs="Times New Roman"/>
                <w:color w:val="FF0000"/>
                <w:sz w:val="20"/>
                <w:szCs w:val="20"/>
              </w:rPr>
              <w:t>facilit</w:t>
            </w:r>
            <w:r>
              <w:rPr>
                <w:rFonts w:ascii="Times New Roman" w:hAnsi="Times New Roman" w:cs="Times New Roman"/>
                <w:color w:val="FF0000"/>
                <w:sz w:val="20"/>
                <w:szCs w:val="20"/>
              </w:rPr>
              <w:t>ies</w:t>
            </w:r>
            <w:r w:rsidR="00D32A45">
              <w:rPr>
                <w:rFonts w:ascii="Times New Roman" w:hAnsi="Times New Roman" w:cs="Times New Roman"/>
                <w:color w:val="FF0000"/>
                <w:sz w:val="20"/>
                <w:szCs w:val="20"/>
              </w:rPr>
              <w:t>.</w:t>
            </w:r>
            <w:r>
              <w:rPr>
                <w:rFonts w:ascii="Times New Roman" w:hAnsi="Times New Roman" w:cs="Times New Roman"/>
                <w:color w:val="FF0000"/>
                <w:sz w:val="20"/>
                <w:szCs w:val="20"/>
              </w:rPr>
              <w:t xml:space="preserve">  Identify gaps and work through the HAI advisory council for state/region mitigation planning.</w:t>
            </w:r>
            <w:r w:rsidR="00D32A45">
              <w:rPr>
                <w:rFonts w:ascii="Times New Roman" w:hAnsi="Times New Roman" w:cs="Times New Roman"/>
                <w:color w:val="FF0000"/>
                <w:sz w:val="20"/>
                <w:szCs w:val="20"/>
              </w:rPr>
              <w:t xml:space="preserve">  </w:t>
            </w:r>
          </w:p>
        </w:tc>
      </w:tr>
      <w:tr w:rsidR="00D32A45" w:rsidRPr="00003E7E" w:rsidTr="004214D9">
        <w:tc>
          <w:tcPr>
            <w:tcW w:w="2340" w:type="dxa"/>
            <w:vMerge/>
            <w:vAlign w:val="center"/>
          </w:tcPr>
          <w:p w:rsidR="00D32A45" w:rsidRPr="00003E7E" w:rsidRDefault="00D32A45" w:rsidP="00003E7E">
            <w:pPr>
              <w:rPr>
                <w:rFonts w:ascii="Times New Roman" w:hAnsi="Times New Roman" w:cs="Times New Roman"/>
                <w:sz w:val="20"/>
                <w:szCs w:val="20"/>
              </w:rPr>
            </w:pPr>
          </w:p>
        </w:tc>
        <w:tc>
          <w:tcPr>
            <w:tcW w:w="11448" w:type="dxa"/>
            <w:gridSpan w:val="4"/>
          </w:tcPr>
          <w:p w:rsidR="00275BC3" w:rsidRPr="00275BC3" w:rsidRDefault="00D32A45" w:rsidP="00275BC3">
            <w:pPr>
              <w:jc w:val="center"/>
              <w:rPr>
                <w:rFonts w:ascii="Times New Roman" w:hAnsi="Times New Roman" w:cs="Times New Roman"/>
                <w:sz w:val="20"/>
                <w:szCs w:val="20"/>
                <w:u w:val="single"/>
              </w:rPr>
            </w:pPr>
            <w:r w:rsidRPr="00275BC3">
              <w:rPr>
                <w:rFonts w:ascii="Times New Roman" w:hAnsi="Times New Roman" w:cs="Times New Roman"/>
                <w:sz w:val="20"/>
                <w:szCs w:val="20"/>
                <w:u w:val="single"/>
              </w:rPr>
              <w:t>Acute Care</w:t>
            </w:r>
          </w:p>
          <w:p w:rsidR="00D32A45" w:rsidRDefault="00275BC3" w:rsidP="00275BC3">
            <w:pPr>
              <w:jc w:val="center"/>
              <w:rPr>
                <w:rFonts w:ascii="Times New Roman" w:hAnsi="Times New Roman" w:cs="Times New Roman"/>
                <w:sz w:val="20"/>
                <w:szCs w:val="20"/>
              </w:rPr>
            </w:pPr>
            <w:r>
              <w:rPr>
                <w:rFonts w:ascii="Times New Roman" w:hAnsi="Times New Roman" w:cs="Times New Roman"/>
                <w:sz w:val="20"/>
                <w:szCs w:val="20"/>
              </w:rPr>
              <w:t>C</w:t>
            </w:r>
            <w:r w:rsidR="00D32A45">
              <w:rPr>
                <w:rFonts w:ascii="Times New Roman" w:hAnsi="Times New Roman" w:cs="Times New Roman"/>
                <w:sz w:val="20"/>
                <w:szCs w:val="20"/>
              </w:rPr>
              <w:t>ollaborative</w:t>
            </w:r>
            <w:r>
              <w:rPr>
                <w:rFonts w:ascii="Times New Roman" w:hAnsi="Times New Roman" w:cs="Times New Roman"/>
                <w:sz w:val="20"/>
                <w:szCs w:val="20"/>
              </w:rPr>
              <w:t xml:space="preserve"> programs hosted</w:t>
            </w:r>
            <w:r w:rsidR="00D32A45">
              <w:rPr>
                <w:rFonts w:ascii="Times New Roman" w:hAnsi="Times New Roman" w:cs="Times New Roman"/>
                <w:sz w:val="20"/>
                <w:szCs w:val="20"/>
              </w:rPr>
              <w:t xml:space="preserve"> by </w:t>
            </w:r>
            <w:proofErr w:type="spellStart"/>
            <w:r w:rsidR="00D32A45">
              <w:rPr>
                <w:rFonts w:ascii="Times New Roman" w:hAnsi="Times New Roman" w:cs="Times New Roman"/>
                <w:sz w:val="20"/>
                <w:szCs w:val="20"/>
              </w:rPr>
              <w:t>Healthcentric</w:t>
            </w:r>
            <w:proofErr w:type="spellEnd"/>
            <w:r w:rsidR="00D32A45">
              <w:rPr>
                <w:rFonts w:ascii="Times New Roman" w:hAnsi="Times New Roman" w:cs="Times New Roman"/>
                <w:sz w:val="20"/>
                <w:szCs w:val="20"/>
              </w:rPr>
              <w:t xml:space="preserve"> Advisors [QIN-QIO], to reduce HAIs related to CLABSI</w:t>
            </w:r>
            <w:r>
              <w:rPr>
                <w:rFonts w:ascii="Times New Roman" w:hAnsi="Times New Roman" w:cs="Times New Roman"/>
                <w:sz w:val="20"/>
                <w:szCs w:val="20"/>
              </w:rPr>
              <w:t>, CAUTI, CDI, and VAE.</w:t>
            </w:r>
          </w:p>
          <w:p w:rsidR="00275BC3" w:rsidRPr="00003E7E" w:rsidRDefault="004F48B6" w:rsidP="004F48B6">
            <w:pPr>
              <w:jc w:val="center"/>
              <w:rPr>
                <w:rFonts w:ascii="Times New Roman" w:hAnsi="Times New Roman" w:cs="Times New Roman"/>
                <w:sz w:val="20"/>
                <w:szCs w:val="20"/>
              </w:rPr>
            </w:pPr>
            <w:r>
              <w:rPr>
                <w:rFonts w:ascii="Times New Roman" w:hAnsi="Times New Roman" w:cs="Times New Roman"/>
                <w:sz w:val="20"/>
                <w:szCs w:val="20"/>
              </w:rPr>
              <w:t xml:space="preserve">CEO focus group </w:t>
            </w:r>
            <w:r w:rsidR="00392BA8">
              <w:rPr>
                <w:rFonts w:ascii="Times New Roman" w:hAnsi="Times New Roman" w:cs="Times New Roman"/>
                <w:sz w:val="20"/>
                <w:szCs w:val="20"/>
              </w:rPr>
              <w:t>hosted by MHA, to</w:t>
            </w:r>
            <w:r w:rsidR="00275BC3">
              <w:rPr>
                <w:rFonts w:ascii="Times New Roman" w:hAnsi="Times New Roman" w:cs="Times New Roman"/>
                <w:sz w:val="20"/>
                <w:szCs w:val="20"/>
              </w:rPr>
              <w:t xml:space="preserve"> </w:t>
            </w:r>
            <w:r w:rsidR="00392BA8">
              <w:rPr>
                <w:rFonts w:ascii="Times New Roman" w:hAnsi="Times New Roman" w:cs="Times New Roman"/>
                <w:sz w:val="20"/>
                <w:szCs w:val="20"/>
              </w:rPr>
              <w:t xml:space="preserve">center </w:t>
            </w:r>
            <w:r w:rsidR="00275BC3">
              <w:rPr>
                <w:rFonts w:ascii="Times New Roman" w:hAnsi="Times New Roman" w:cs="Times New Roman"/>
                <w:sz w:val="20"/>
                <w:szCs w:val="20"/>
              </w:rPr>
              <w:t>attention on reduction of CDI and MRSA.</w:t>
            </w:r>
          </w:p>
        </w:tc>
      </w:tr>
      <w:tr w:rsidR="0046391F" w:rsidRPr="00003E7E" w:rsidTr="002722C0">
        <w:tc>
          <w:tcPr>
            <w:tcW w:w="2340" w:type="dxa"/>
            <w:vMerge w:val="restart"/>
            <w:vAlign w:val="center"/>
          </w:tcPr>
          <w:p w:rsidR="0046391F" w:rsidRPr="00003E7E" w:rsidRDefault="0046391F" w:rsidP="00B63A22">
            <w:pPr>
              <w:rPr>
                <w:rFonts w:ascii="Times New Roman" w:hAnsi="Times New Roman" w:cs="Times New Roman"/>
                <w:sz w:val="20"/>
                <w:szCs w:val="20"/>
              </w:rPr>
            </w:pPr>
            <w:r>
              <w:rPr>
                <w:rFonts w:ascii="Times New Roman" w:hAnsi="Times New Roman" w:cs="Times New Roman"/>
                <w:sz w:val="20"/>
                <w:szCs w:val="20"/>
              </w:rPr>
              <w:t>Expand</w:t>
            </w:r>
            <w:r w:rsidRPr="00003E7E">
              <w:rPr>
                <w:rFonts w:ascii="Times New Roman" w:hAnsi="Times New Roman" w:cs="Times New Roman"/>
                <w:sz w:val="20"/>
                <w:szCs w:val="20"/>
              </w:rPr>
              <w:t xml:space="preserve"> antimicrobial stewardship efforts</w:t>
            </w:r>
          </w:p>
        </w:tc>
        <w:tc>
          <w:tcPr>
            <w:tcW w:w="2448" w:type="dxa"/>
            <w:vAlign w:val="center"/>
          </w:tcPr>
          <w:p w:rsidR="0046391F" w:rsidRPr="00AD6B8D" w:rsidRDefault="0046391F" w:rsidP="00C40214">
            <w:pPr>
              <w:rPr>
                <w:rFonts w:ascii="Times New Roman" w:hAnsi="Times New Roman" w:cs="Times New Roman"/>
                <w:sz w:val="20"/>
                <w:szCs w:val="20"/>
              </w:rPr>
            </w:pPr>
          </w:p>
        </w:tc>
        <w:tc>
          <w:tcPr>
            <w:tcW w:w="3420" w:type="dxa"/>
            <w:vAlign w:val="center"/>
          </w:tcPr>
          <w:p w:rsidR="0046391F" w:rsidRPr="00003E7E" w:rsidRDefault="000F28A6" w:rsidP="000F28A6">
            <w:pPr>
              <w:rPr>
                <w:rFonts w:ascii="Times New Roman" w:hAnsi="Times New Roman" w:cs="Times New Roman"/>
                <w:sz w:val="20"/>
                <w:szCs w:val="20"/>
              </w:rPr>
            </w:pPr>
            <w:r>
              <w:rPr>
                <w:rFonts w:ascii="Times New Roman" w:hAnsi="Times New Roman" w:cs="Times New Roman"/>
                <w:sz w:val="20"/>
                <w:szCs w:val="20"/>
              </w:rPr>
              <w:t>Survey of healthcare facility AMS surveillance program – elements of program, etc.</w:t>
            </w:r>
          </w:p>
        </w:tc>
        <w:tc>
          <w:tcPr>
            <w:tcW w:w="3060" w:type="dxa"/>
            <w:vAlign w:val="center"/>
          </w:tcPr>
          <w:p w:rsidR="0046391F" w:rsidRPr="002722C0" w:rsidRDefault="002722C0" w:rsidP="002722C0">
            <w:pPr>
              <w:rPr>
                <w:rFonts w:ascii="Times New Roman" w:hAnsi="Times New Roman" w:cs="Times New Roman"/>
                <w:sz w:val="20"/>
                <w:szCs w:val="20"/>
                <w:highlight w:val="yellow"/>
              </w:rPr>
            </w:pPr>
            <w:r>
              <w:rPr>
                <w:rFonts w:ascii="Times New Roman" w:hAnsi="Times New Roman" w:cs="Times New Roman"/>
                <w:sz w:val="20"/>
                <w:szCs w:val="20"/>
              </w:rPr>
              <w:t>Explore impact of antibiotic shortage issues on AMS recommendations.</w:t>
            </w:r>
          </w:p>
        </w:tc>
        <w:tc>
          <w:tcPr>
            <w:tcW w:w="2520" w:type="dxa"/>
            <w:vAlign w:val="center"/>
          </w:tcPr>
          <w:p w:rsidR="0046391F" w:rsidRPr="00003E7E" w:rsidRDefault="0046391F" w:rsidP="00C40214">
            <w:pPr>
              <w:rPr>
                <w:rFonts w:ascii="Times New Roman" w:hAnsi="Times New Roman" w:cs="Times New Roman"/>
                <w:sz w:val="20"/>
                <w:szCs w:val="20"/>
              </w:rPr>
            </w:pPr>
          </w:p>
        </w:tc>
      </w:tr>
      <w:tr w:rsidR="002722C0" w:rsidRPr="00003E7E" w:rsidTr="002722C0">
        <w:tc>
          <w:tcPr>
            <w:tcW w:w="2340" w:type="dxa"/>
            <w:vMerge/>
            <w:vAlign w:val="center"/>
          </w:tcPr>
          <w:p w:rsidR="002722C0" w:rsidRDefault="002722C0" w:rsidP="00B63A22">
            <w:pPr>
              <w:rPr>
                <w:rFonts w:ascii="Times New Roman" w:hAnsi="Times New Roman" w:cs="Times New Roman"/>
                <w:sz w:val="20"/>
                <w:szCs w:val="20"/>
              </w:rPr>
            </w:pPr>
          </w:p>
        </w:tc>
        <w:tc>
          <w:tcPr>
            <w:tcW w:w="2448" w:type="dxa"/>
            <w:vAlign w:val="center"/>
          </w:tcPr>
          <w:p w:rsidR="002722C0" w:rsidRPr="00AD6B8D" w:rsidRDefault="002722C0" w:rsidP="00C40214">
            <w:pPr>
              <w:rPr>
                <w:rFonts w:ascii="Times New Roman" w:hAnsi="Times New Roman" w:cs="Times New Roman"/>
                <w:sz w:val="20"/>
                <w:szCs w:val="20"/>
              </w:rPr>
            </w:pPr>
            <w:r w:rsidRPr="000F28A6">
              <w:rPr>
                <w:rFonts w:ascii="Times New Roman" w:hAnsi="Times New Roman" w:cs="Times New Roman"/>
                <w:sz w:val="20"/>
                <w:szCs w:val="20"/>
                <w:highlight w:val="yellow"/>
              </w:rPr>
              <w:t>MICIS??</w:t>
            </w:r>
          </w:p>
        </w:tc>
        <w:tc>
          <w:tcPr>
            <w:tcW w:w="3420" w:type="dxa"/>
            <w:vAlign w:val="center"/>
          </w:tcPr>
          <w:p w:rsidR="002722C0" w:rsidRDefault="002722C0" w:rsidP="000F28A6">
            <w:pPr>
              <w:rPr>
                <w:rFonts w:ascii="Times New Roman" w:hAnsi="Times New Roman" w:cs="Times New Roman"/>
                <w:sz w:val="20"/>
                <w:szCs w:val="20"/>
              </w:rPr>
            </w:pPr>
          </w:p>
        </w:tc>
        <w:tc>
          <w:tcPr>
            <w:tcW w:w="3060" w:type="dxa"/>
            <w:vAlign w:val="center"/>
          </w:tcPr>
          <w:p w:rsidR="002722C0" w:rsidRPr="00003E7E" w:rsidRDefault="002722C0" w:rsidP="00C40214">
            <w:pPr>
              <w:rPr>
                <w:rFonts w:ascii="Times New Roman" w:hAnsi="Times New Roman" w:cs="Times New Roman"/>
                <w:sz w:val="20"/>
                <w:szCs w:val="20"/>
              </w:rPr>
            </w:pPr>
          </w:p>
        </w:tc>
        <w:tc>
          <w:tcPr>
            <w:tcW w:w="2520" w:type="dxa"/>
            <w:vAlign w:val="center"/>
          </w:tcPr>
          <w:p w:rsidR="002722C0" w:rsidRPr="00003E7E" w:rsidRDefault="002722C0" w:rsidP="00C40214">
            <w:pPr>
              <w:rPr>
                <w:rFonts w:ascii="Times New Roman" w:hAnsi="Times New Roman" w:cs="Times New Roman"/>
                <w:sz w:val="20"/>
                <w:szCs w:val="20"/>
              </w:rPr>
            </w:pPr>
          </w:p>
        </w:tc>
      </w:tr>
      <w:tr w:rsidR="00D32A45" w:rsidRPr="00003E7E" w:rsidTr="001C2EAD">
        <w:tc>
          <w:tcPr>
            <w:tcW w:w="2340" w:type="dxa"/>
            <w:vMerge/>
            <w:vAlign w:val="center"/>
          </w:tcPr>
          <w:p w:rsidR="00D32A45" w:rsidRDefault="00D32A45" w:rsidP="00B63A22">
            <w:pPr>
              <w:rPr>
                <w:rFonts w:ascii="Times New Roman" w:hAnsi="Times New Roman" w:cs="Times New Roman"/>
                <w:sz w:val="20"/>
                <w:szCs w:val="20"/>
              </w:rPr>
            </w:pPr>
          </w:p>
        </w:tc>
        <w:tc>
          <w:tcPr>
            <w:tcW w:w="2448" w:type="dxa"/>
            <w:vAlign w:val="center"/>
          </w:tcPr>
          <w:p w:rsidR="00D32A45" w:rsidRPr="00AD6B8D" w:rsidRDefault="00D32A45" w:rsidP="00C40214">
            <w:pPr>
              <w:rPr>
                <w:rFonts w:ascii="Times New Roman" w:hAnsi="Times New Roman" w:cs="Times New Roman"/>
                <w:sz w:val="20"/>
                <w:szCs w:val="20"/>
              </w:rPr>
            </w:pPr>
          </w:p>
        </w:tc>
        <w:tc>
          <w:tcPr>
            <w:tcW w:w="9000" w:type="dxa"/>
            <w:gridSpan w:val="3"/>
            <w:vAlign w:val="center"/>
          </w:tcPr>
          <w:p w:rsidR="00D32A45" w:rsidRPr="002722C0" w:rsidRDefault="00D32A45" w:rsidP="00D32A45">
            <w:pPr>
              <w:jc w:val="center"/>
              <w:rPr>
                <w:highlight w:val="yellow"/>
              </w:rPr>
            </w:pPr>
            <w:r>
              <w:rPr>
                <w:rFonts w:ascii="Times New Roman" w:hAnsi="Times New Roman" w:cs="Times New Roman"/>
                <w:sz w:val="20"/>
                <w:szCs w:val="20"/>
                <w:highlight w:val="yellow"/>
              </w:rPr>
              <w:t xml:space="preserve">Promote </w:t>
            </w:r>
            <w:r w:rsidRPr="00117E53">
              <w:rPr>
                <w:rFonts w:ascii="Times New Roman" w:hAnsi="Times New Roman" w:cs="Times New Roman"/>
                <w:sz w:val="20"/>
                <w:szCs w:val="20"/>
                <w:highlight w:val="yellow"/>
              </w:rPr>
              <w:t>Get Smart About Antibiotics Week (CDC) –</w:t>
            </w:r>
            <w:r>
              <w:rPr>
                <w:rFonts w:ascii="Times New Roman" w:hAnsi="Times New Roman" w:cs="Times New Roman"/>
                <w:sz w:val="20"/>
                <w:szCs w:val="20"/>
                <w:highlight w:val="yellow"/>
              </w:rPr>
              <w:t xml:space="preserve"> November</w:t>
            </w:r>
          </w:p>
        </w:tc>
      </w:tr>
      <w:tr w:rsidR="0046391F" w:rsidRPr="00003E7E" w:rsidTr="002722C0">
        <w:tc>
          <w:tcPr>
            <w:tcW w:w="2340" w:type="dxa"/>
            <w:vMerge/>
            <w:vAlign w:val="center"/>
          </w:tcPr>
          <w:p w:rsidR="0046391F" w:rsidRDefault="0046391F" w:rsidP="00C40214">
            <w:pPr>
              <w:rPr>
                <w:rFonts w:ascii="Times New Roman" w:hAnsi="Times New Roman" w:cs="Times New Roman"/>
                <w:sz w:val="20"/>
                <w:szCs w:val="20"/>
              </w:rPr>
            </w:pPr>
          </w:p>
        </w:tc>
        <w:tc>
          <w:tcPr>
            <w:tcW w:w="2448" w:type="dxa"/>
            <w:vAlign w:val="center"/>
          </w:tcPr>
          <w:p w:rsidR="0046391F" w:rsidRDefault="0046391F" w:rsidP="00C40214">
            <w:pPr>
              <w:rPr>
                <w:rFonts w:ascii="Times New Roman" w:hAnsi="Times New Roman" w:cs="Times New Roman"/>
                <w:sz w:val="20"/>
                <w:szCs w:val="20"/>
              </w:rPr>
            </w:pPr>
          </w:p>
        </w:tc>
        <w:tc>
          <w:tcPr>
            <w:tcW w:w="3420" w:type="dxa"/>
            <w:vAlign w:val="center"/>
          </w:tcPr>
          <w:p w:rsidR="0046391F" w:rsidRPr="00D405B5" w:rsidRDefault="00F408CC" w:rsidP="00C40214">
            <w:pPr>
              <w:rPr>
                <w:rFonts w:ascii="Times New Roman" w:hAnsi="Times New Roman" w:cs="Times New Roman"/>
                <w:b/>
                <w:sz w:val="20"/>
                <w:szCs w:val="20"/>
              </w:rPr>
            </w:pPr>
            <w:r>
              <w:rPr>
                <w:rFonts w:ascii="Times New Roman" w:hAnsi="Times New Roman" w:cs="Times New Roman"/>
                <w:sz w:val="20"/>
                <w:szCs w:val="20"/>
              </w:rPr>
              <w:t>Roll out</w:t>
            </w:r>
            <w:r w:rsidR="0046391F">
              <w:rPr>
                <w:rFonts w:ascii="Times New Roman" w:hAnsi="Times New Roman" w:cs="Times New Roman"/>
                <w:sz w:val="20"/>
                <w:szCs w:val="20"/>
              </w:rPr>
              <w:t xml:space="preserve"> study with clinical laboratories to conduct DNA analysis on isolates of multidrug resistant organisms (e.g. MRSA, VRE, CRE and VISA) in order to determine the resistance genes most frequently seen in Maine.  The next class of antibiotics will target these resistance genes in bacteria.</w:t>
            </w:r>
          </w:p>
        </w:tc>
        <w:tc>
          <w:tcPr>
            <w:tcW w:w="3060" w:type="dxa"/>
            <w:vAlign w:val="center"/>
          </w:tcPr>
          <w:p w:rsidR="0046391F" w:rsidRPr="005B518D" w:rsidRDefault="00F408CC" w:rsidP="00C40214">
            <w:pPr>
              <w:rPr>
                <w:rFonts w:ascii="Times New Roman" w:hAnsi="Times New Roman" w:cs="Times New Roman"/>
                <w:sz w:val="20"/>
                <w:szCs w:val="20"/>
              </w:rPr>
            </w:pPr>
            <w:r>
              <w:rPr>
                <w:rFonts w:ascii="Times New Roman" w:hAnsi="Times New Roman" w:cs="Times New Roman"/>
                <w:sz w:val="20"/>
                <w:szCs w:val="20"/>
              </w:rPr>
              <w:t>Share the findings with providers.</w:t>
            </w:r>
          </w:p>
        </w:tc>
        <w:tc>
          <w:tcPr>
            <w:tcW w:w="2520" w:type="dxa"/>
            <w:vAlign w:val="center"/>
          </w:tcPr>
          <w:p w:rsidR="0046391F" w:rsidRPr="00003E7E" w:rsidRDefault="0046391F" w:rsidP="00C40214">
            <w:pPr>
              <w:rPr>
                <w:rFonts w:ascii="Times New Roman" w:hAnsi="Times New Roman" w:cs="Times New Roman"/>
                <w:sz w:val="20"/>
                <w:szCs w:val="20"/>
              </w:rPr>
            </w:pPr>
          </w:p>
        </w:tc>
      </w:tr>
    </w:tbl>
    <w:p w:rsidR="006D3D44" w:rsidRDefault="006D3D44" w:rsidP="00A12A29">
      <w:pPr>
        <w:framePr w:w="13410" w:wrap="auto" w:hAnchor="text"/>
        <w:jc w:val="center"/>
        <w:rPr>
          <w:rFonts w:ascii="Times New Roman" w:hAnsi="Times New Roman" w:cs="Times New Roman"/>
          <w:b/>
          <w:sz w:val="24"/>
        </w:rPr>
        <w:sectPr w:rsidR="006D3D44" w:rsidSect="00003E7E">
          <w:pgSz w:w="15840" w:h="12240" w:orient="landscape"/>
          <w:pgMar w:top="1440" w:right="1440" w:bottom="1440" w:left="900" w:header="720" w:footer="720" w:gutter="0"/>
          <w:cols w:space="720"/>
          <w:docGrid w:linePitch="360"/>
        </w:sectPr>
      </w:pPr>
    </w:p>
    <w:p w:rsidR="00313E50" w:rsidRPr="00313E50" w:rsidRDefault="00ED1AC2" w:rsidP="00ED1AC2">
      <w:pPr>
        <w:spacing w:after="0"/>
        <w:rPr>
          <w:b/>
          <w:color w:val="000000" w:themeColor="text1"/>
          <w:sz w:val="28"/>
          <w:szCs w:val="28"/>
        </w:rPr>
      </w:pPr>
      <w:r>
        <w:rPr>
          <w:b/>
          <w:color w:val="000000" w:themeColor="text1"/>
          <w:sz w:val="28"/>
          <w:szCs w:val="28"/>
        </w:rPr>
        <w:lastRenderedPageBreak/>
        <w:t>H</w:t>
      </w:r>
      <w:r w:rsidR="00CE5CEC">
        <w:rPr>
          <w:b/>
          <w:color w:val="000000" w:themeColor="text1"/>
          <w:sz w:val="28"/>
          <w:szCs w:val="28"/>
        </w:rPr>
        <w:t>ow are we</w:t>
      </w:r>
      <w:r w:rsidR="00313E50" w:rsidRPr="00313E50">
        <w:rPr>
          <w:b/>
          <w:color w:val="000000" w:themeColor="text1"/>
          <w:sz w:val="28"/>
          <w:szCs w:val="28"/>
        </w:rPr>
        <w:t xml:space="preserve"> doing?</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76"/>
        <w:gridCol w:w="4500"/>
      </w:tblGrid>
      <w:tr w:rsidR="008D1CC2" w:rsidTr="00BC16FE">
        <w:tc>
          <w:tcPr>
            <w:tcW w:w="5076" w:type="dxa"/>
          </w:tcPr>
          <w:p w:rsidR="008D1CC2" w:rsidRDefault="008D1CC2" w:rsidP="000558E0">
            <w:r>
              <w:rPr>
                <w:noProof/>
              </w:rPr>
              <w:drawing>
                <wp:inline distT="0" distB="0" distL="0" distR="0" wp14:anchorId="6F819E0F" wp14:editId="5A999E62">
                  <wp:extent cx="3055620" cy="1630680"/>
                  <wp:effectExtent l="0" t="0" r="11430" b="266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500" w:type="dxa"/>
          </w:tcPr>
          <w:p w:rsidR="008D1CC2" w:rsidRDefault="008D1CC2" w:rsidP="000558E0"/>
        </w:tc>
      </w:tr>
      <w:tr w:rsidR="008D1CC2" w:rsidTr="00BC16FE">
        <w:tc>
          <w:tcPr>
            <w:tcW w:w="5076" w:type="dxa"/>
          </w:tcPr>
          <w:p w:rsidR="008D1CC2" w:rsidRDefault="00BC16FE" w:rsidP="000558E0">
            <w:r>
              <w:rPr>
                <w:noProof/>
              </w:rPr>
              <w:drawing>
                <wp:inline distT="0" distB="0" distL="0" distR="0" wp14:anchorId="525DF5E2" wp14:editId="79AEC899">
                  <wp:extent cx="3048000" cy="1668780"/>
                  <wp:effectExtent l="0" t="0" r="1905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00" w:type="dxa"/>
          </w:tcPr>
          <w:p w:rsidR="008D1CC2" w:rsidRDefault="008D1CC2" w:rsidP="000558E0"/>
        </w:tc>
      </w:tr>
      <w:tr w:rsidR="008D1CC2" w:rsidTr="00BC16FE">
        <w:tc>
          <w:tcPr>
            <w:tcW w:w="5076" w:type="dxa"/>
          </w:tcPr>
          <w:p w:rsidR="008D1CC2" w:rsidRDefault="00BC16FE" w:rsidP="000558E0">
            <w:r>
              <w:rPr>
                <w:noProof/>
              </w:rPr>
              <w:drawing>
                <wp:inline distT="0" distB="0" distL="0" distR="0" wp14:anchorId="41528C32" wp14:editId="16D92253">
                  <wp:extent cx="3048000" cy="1661160"/>
                  <wp:effectExtent l="0" t="0" r="1905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500" w:type="dxa"/>
          </w:tcPr>
          <w:p w:rsidR="008D1CC2" w:rsidRDefault="008D1CC2" w:rsidP="000558E0"/>
        </w:tc>
      </w:tr>
      <w:tr w:rsidR="008D1CC2" w:rsidTr="00BC16FE">
        <w:tc>
          <w:tcPr>
            <w:tcW w:w="5076" w:type="dxa"/>
          </w:tcPr>
          <w:p w:rsidR="008D1CC2" w:rsidRDefault="008D1CC2" w:rsidP="000558E0">
            <w:r>
              <w:rPr>
                <w:noProof/>
              </w:rPr>
              <w:drawing>
                <wp:inline distT="0" distB="0" distL="0" distR="0" wp14:anchorId="23067A8F" wp14:editId="4A988076">
                  <wp:extent cx="3055620" cy="1447800"/>
                  <wp:effectExtent l="0" t="0" r="1143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00" w:type="dxa"/>
          </w:tcPr>
          <w:p w:rsidR="008D1CC2" w:rsidRDefault="008D1CC2" w:rsidP="000558E0"/>
        </w:tc>
      </w:tr>
      <w:tr w:rsidR="008D1CC2" w:rsidTr="00ED1AC2">
        <w:trPr>
          <w:trHeight w:val="2295"/>
        </w:trPr>
        <w:tc>
          <w:tcPr>
            <w:tcW w:w="5076" w:type="dxa"/>
          </w:tcPr>
          <w:p w:rsidR="008D1CC2" w:rsidRDefault="008D1CC2" w:rsidP="000558E0">
            <w:r>
              <w:rPr>
                <w:noProof/>
              </w:rPr>
              <w:drawing>
                <wp:inline distT="0" distB="0" distL="0" distR="0" wp14:anchorId="02C1A22B" wp14:editId="59770B62">
                  <wp:extent cx="3063240" cy="1485900"/>
                  <wp:effectExtent l="0" t="0" r="2286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500" w:type="dxa"/>
          </w:tcPr>
          <w:p w:rsidR="008D1CC2" w:rsidRDefault="008D1CC2" w:rsidP="000558E0"/>
        </w:tc>
      </w:tr>
    </w:tbl>
    <w:p w:rsidR="000558E0" w:rsidRPr="008D1CC2" w:rsidRDefault="000558E0" w:rsidP="00ED1AC2"/>
    <w:sectPr w:rsidR="000558E0" w:rsidRPr="008D1CC2" w:rsidSect="00ED1AC2">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C2" w:rsidRDefault="00215BC2" w:rsidP="00003E7E">
      <w:pPr>
        <w:spacing w:after="0" w:line="240" w:lineRule="auto"/>
      </w:pPr>
      <w:r>
        <w:separator/>
      </w:r>
    </w:p>
  </w:endnote>
  <w:endnote w:type="continuationSeparator" w:id="0">
    <w:p w:rsidR="00215BC2" w:rsidRDefault="00215BC2" w:rsidP="0000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C2" w:rsidRDefault="00215BC2" w:rsidP="00003E7E">
      <w:pPr>
        <w:spacing w:after="0" w:line="240" w:lineRule="auto"/>
      </w:pPr>
      <w:r>
        <w:separator/>
      </w:r>
    </w:p>
  </w:footnote>
  <w:footnote w:type="continuationSeparator" w:id="0">
    <w:p w:rsidR="00215BC2" w:rsidRDefault="00215BC2" w:rsidP="00003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4B" w:rsidRPr="00B4594B" w:rsidRDefault="00B4594B" w:rsidP="00B4594B">
    <w:pPr>
      <w:pStyle w:val="Header"/>
      <w:jc w:val="center"/>
      <w:rPr>
        <w:b/>
        <w:color w:val="FF0000"/>
        <w:sz w:val="28"/>
        <w:szCs w:val="28"/>
      </w:rPr>
    </w:pPr>
    <w:r w:rsidRPr="00B4594B">
      <w:rPr>
        <w:b/>
        <w:color w:val="FF0000"/>
        <w:sz w:val="28"/>
        <w:szCs w:val="28"/>
      </w:rPr>
      <w:t>DRAFT</w:t>
    </w:r>
  </w:p>
  <w:p w:rsidR="00ED1AC2" w:rsidRPr="00B4594B" w:rsidRDefault="00ED1AC2" w:rsidP="00B45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0876"/>
    <w:multiLevelType w:val="hybridMultilevel"/>
    <w:tmpl w:val="BFA845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65073"/>
    <w:multiLevelType w:val="hybridMultilevel"/>
    <w:tmpl w:val="437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B7922"/>
    <w:multiLevelType w:val="hybridMultilevel"/>
    <w:tmpl w:val="B8F62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C3814"/>
    <w:multiLevelType w:val="hybridMultilevel"/>
    <w:tmpl w:val="281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F07A6"/>
    <w:multiLevelType w:val="hybridMultilevel"/>
    <w:tmpl w:val="3F38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4007A"/>
    <w:multiLevelType w:val="hybridMultilevel"/>
    <w:tmpl w:val="57E426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893D49"/>
    <w:multiLevelType w:val="hybridMultilevel"/>
    <w:tmpl w:val="D7822F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4C4D1F"/>
    <w:multiLevelType w:val="hybridMultilevel"/>
    <w:tmpl w:val="A196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A05CD"/>
    <w:multiLevelType w:val="hybridMultilevel"/>
    <w:tmpl w:val="AFF029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F165EB"/>
    <w:multiLevelType w:val="hybridMultilevel"/>
    <w:tmpl w:val="9C0848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45102E"/>
    <w:multiLevelType w:val="hybridMultilevel"/>
    <w:tmpl w:val="C922A8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78CC0689"/>
    <w:multiLevelType w:val="hybridMultilevel"/>
    <w:tmpl w:val="8E88920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B90878"/>
    <w:multiLevelType w:val="hybridMultilevel"/>
    <w:tmpl w:val="4EE893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1"/>
  </w:num>
  <w:num w:numId="4">
    <w:abstractNumId w:val="6"/>
  </w:num>
  <w:num w:numId="5">
    <w:abstractNumId w:val="0"/>
  </w:num>
  <w:num w:numId="6">
    <w:abstractNumId w:val="5"/>
  </w:num>
  <w:num w:numId="7">
    <w:abstractNumId w:val="9"/>
  </w:num>
  <w:num w:numId="8">
    <w:abstractNumId w:val="12"/>
  </w:num>
  <w:num w:numId="9">
    <w:abstractNumId w:val="8"/>
  </w:num>
  <w:num w:numId="10">
    <w:abstractNumId w:val="2"/>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91"/>
    <w:rsid w:val="00003E7E"/>
    <w:rsid w:val="00012F47"/>
    <w:rsid w:val="00051B70"/>
    <w:rsid w:val="000558E0"/>
    <w:rsid w:val="000E2397"/>
    <w:rsid w:val="000F28A6"/>
    <w:rsid w:val="00117E53"/>
    <w:rsid w:val="00164DCD"/>
    <w:rsid w:val="00214D11"/>
    <w:rsid w:val="00215BC2"/>
    <w:rsid w:val="002201BF"/>
    <w:rsid w:val="00220B09"/>
    <w:rsid w:val="0022247B"/>
    <w:rsid w:val="002348A9"/>
    <w:rsid w:val="002722C0"/>
    <w:rsid w:val="00275BC3"/>
    <w:rsid w:val="00313E50"/>
    <w:rsid w:val="00324C75"/>
    <w:rsid w:val="00376BB7"/>
    <w:rsid w:val="00377A49"/>
    <w:rsid w:val="00392BA8"/>
    <w:rsid w:val="003E5F65"/>
    <w:rsid w:val="003E6969"/>
    <w:rsid w:val="003F2DCF"/>
    <w:rsid w:val="00443274"/>
    <w:rsid w:val="0046391F"/>
    <w:rsid w:val="00471747"/>
    <w:rsid w:val="004B1221"/>
    <w:rsid w:val="004D7AC3"/>
    <w:rsid w:val="004F48B6"/>
    <w:rsid w:val="004F7BA6"/>
    <w:rsid w:val="00505611"/>
    <w:rsid w:val="00534FEE"/>
    <w:rsid w:val="00572246"/>
    <w:rsid w:val="00583452"/>
    <w:rsid w:val="005B1489"/>
    <w:rsid w:val="005B518D"/>
    <w:rsid w:val="00643EB3"/>
    <w:rsid w:val="00673CAA"/>
    <w:rsid w:val="006756F0"/>
    <w:rsid w:val="006A58D2"/>
    <w:rsid w:val="006B5C54"/>
    <w:rsid w:val="006B5F34"/>
    <w:rsid w:val="006D3D44"/>
    <w:rsid w:val="006E712B"/>
    <w:rsid w:val="00721AD4"/>
    <w:rsid w:val="00725D2F"/>
    <w:rsid w:val="00753860"/>
    <w:rsid w:val="00756D34"/>
    <w:rsid w:val="00783D12"/>
    <w:rsid w:val="00784E83"/>
    <w:rsid w:val="0078712A"/>
    <w:rsid w:val="007C2EEF"/>
    <w:rsid w:val="00804004"/>
    <w:rsid w:val="008106A9"/>
    <w:rsid w:val="0082606C"/>
    <w:rsid w:val="00846DC4"/>
    <w:rsid w:val="00880DEC"/>
    <w:rsid w:val="008B608C"/>
    <w:rsid w:val="008C3ACA"/>
    <w:rsid w:val="008C4291"/>
    <w:rsid w:val="008D1CC2"/>
    <w:rsid w:val="009077E7"/>
    <w:rsid w:val="00991BFA"/>
    <w:rsid w:val="009A31CA"/>
    <w:rsid w:val="009C0F4D"/>
    <w:rsid w:val="009D3EFF"/>
    <w:rsid w:val="00A12A29"/>
    <w:rsid w:val="00A31F36"/>
    <w:rsid w:val="00A44279"/>
    <w:rsid w:val="00A81FA1"/>
    <w:rsid w:val="00AD6B8D"/>
    <w:rsid w:val="00AE6C26"/>
    <w:rsid w:val="00AF1EF4"/>
    <w:rsid w:val="00B01399"/>
    <w:rsid w:val="00B2752F"/>
    <w:rsid w:val="00B31802"/>
    <w:rsid w:val="00B4594B"/>
    <w:rsid w:val="00B63A22"/>
    <w:rsid w:val="00B72578"/>
    <w:rsid w:val="00BC16FE"/>
    <w:rsid w:val="00BE2676"/>
    <w:rsid w:val="00BF7C01"/>
    <w:rsid w:val="00C40214"/>
    <w:rsid w:val="00C67287"/>
    <w:rsid w:val="00C7127A"/>
    <w:rsid w:val="00C74456"/>
    <w:rsid w:val="00C91A1D"/>
    <w:rsid w:val="00C94ED5"/>
    <w:rsid w:val="00CB269C"/>
    <w:rsid w:val="00CE5CEC"/>
    <w:rsid w:val="00CF4220"/>
    <w:rsid w:val="00D05730"/>
    <w:rsid w:val="00D10FE1"/>
    <w:rsid w:val="00D32A45"/>
    <w:rsid w:val="00D405B5"/>
    <w:rsid w:val="00D53A39"/>
    <w:rsid w:val="00D62EEE"/>
    <w:rsid w:val="00DB28BA"/>
    <w:rsid w:val="00E44EC3"/>
    <w:rsid w:val="00E473E4"/>
    <w:rsid w:val="00E541C6"/>
    <w:rsid w:val="00E66399"/>
    <w:rsid w:val="00E67578"/>
    <w:rsid w:val="00EC494C"/>
    <w:rsid w:val="00ED1AC2"/>
    <w:rsid w:val="00EE18DC"/>
    <w:rsid w:val="00EF6D73"/>
    <w:rsid w:val="00F07519"/>
    <w:rsid w:val="00F1730F"/>
    <w:rsid w:val="00F408CC"/>
    <w:rsid w:val="00F7201F"/>
    <w:rsid w:val="00F74FB8"/>
    <w:rsid w:val="00FD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FDA342-BE22-4F78-8B70-7C6865FB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91"/>
    <w:pPr>
      <w:ind w:left="720"/>
      <w:contextualSpacing/>
    </w:pPr>
  </w:style>
  <w:style w:type="paragraph" w:styleId="BalloonText">
    <w:name w:val="Balloon Text"/>
    <w:basedOn w:val="Normal"/>
    <w:link w:val="BalloonTextChar"/>
    <w:uiPriority w:val="99"/>
    <w:semiHidden/>
    <w:unhideWhenUsed/>
    <w:rsid w:val="0031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50"/>
    <w:rPr>
      <w:rFonts w:ascii="Tahoma" w:hAnsi="Tahoma" w:cs="Tahoma"/>
      <w:sz w:val="16"/>
      <w:szCs w:val="16"/>
    </w:rPr>
  </w:style>
  <w:style w:type="table" w:styleId="TableGrid">
    <w:name w:val="Table Grid"/>
    <w:basedOn w:val="TableNormal"/>
    <w:uiPriority w:val="59"/>
    <w:rsid w:val="008D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E"/>
  </w:style>
  <w:style w:type="paragraph" w:styleId="Footer">
    <w:name w:val="footer"/>
    <w:basedOn w:val="Normal"/>
    <w:link w:val="FooterChar"/>
    <w:uiPriority w:val="99"/>
    <w:unhideWhenUsed/>
    <w:rsid w:val="0000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CAUTI </a:t>
            </a:r>
          </a:p>
        </c:rich>
      </c:tx>
      <c:layout>
        <c:manualLayout>
          <c:xMode val="edge"/>
          <c:yMode val="edge"/>
          <c:x val="8.7562554680664914E-2"/>
          <c:y val="5.2083333333333336E-2"/>
        </c:manualLayout>
      </c:layout>
      <c:overlay val="0"/>
    </c:title>
    <c:autoTitleDeleted val="0"/>
    <c:plotArea>
      <c:layout>
        <c:manualLayout>
          <c:layoutTarget val="inner"/>
          <c:xMode val="edge"/>
          <c:yMode val="edge"/>
          <c:x val="0.18307544786328142"/>
          <c:y val="0.24193015912073487"/>
          <c:w val="0.79357740818557276"/>
          <c:h val="0.59497313812335961"/>
        </c:manualLayout>
      </c:layout>
      <c:areaChart>
        <c:grouping val="standard"/>
        <c:varyColors val="0"/>
        <c:ser>
          <c:idx val="1"/>
          <c:order val="1"/>
          <c:tx>
            <c:strRef>
              <c:f>Sheet1!$A$6</c:f>
              <c:strCache>
                <c:ptCount val="1"/>
                <c:pt idx="0">
                  <c:v>HP2020 Goal</c:v>
                </c:pt>
              </c:strCache>
            </c:strRef>
          </c:tx>
          <c:spPr>
            <a:solidFill>
              <a:schemeClr val="accent3">
                <a:lumMod val="60000"/>
                <a:lumOff val="40000"/>
              </a:schemeClr>
            </a:solidFill>
          </c:spPr>
          <c:cat>
            <c:numRef>
              <c:f>Sheet1!$B$4:$E$4</c:f>
              <c:numCache>
                <c:formatCode>General</c:formatCode>
                <c:ptCount val="4"/>
                <c:pt idx="0">
                  <c:v>2012</c:v>
                </c:pt>
                <c:pt idx="1">
                  <c:v>2013</c:v>
                </c:pt>
                <c:pt idx="2">
                  <c:v>2014</c:v>
                </c:pt>
                <c:pt idx="3">
                  <c:v>2015</c:v>
                </c:pt>
              </c:numCache>
            </c:numRef>
          </c:cat>
          <c:val>
            <c:numRef>
              <c:f>Sheet1!$B$6:$E$6</c:f>
              <c:numCache>
                <c:formatCode>0.00</c:formatCode>
                <c:ptCount val="4"/>
                <c:pt idx="0">
                  <c:v>0.75</c:v>
                </c:pt>
                <c:pt idx="1">
                  <c:v>0.75</c:v>
                </c:pt>
                <c:pt idx="2">
                  <c:v>0.75</c:v>
                </c:pt>
                <c:pt idx="3">
                  <c:v>0.75</c:v>
                </c:pt>
              </c:numCache>
            </c:numRef>
          </c:val>
        </c:ser>
        <c:dLbls>
          <c:showLegendKey val="0"/>
          <c:showVal val="0"/>
          <c:showCatName val="0"/>
          <c:showSerName val="0"/>
          <c:showPercent val="0"/>
          <c:showBubbleSize val="0"/>
        </c:dLbls>
        <c:axId val="284950000"/>
        <c:axId val="284950392"/>
      </c:areaChart>
      <c:lineChart>
        <c:grouping val="standard"/>
        <c:varyColors val="0"/>
        <c:ser>
          <c:idx val="0"/>
          <c:order val="0"/>
          <c:tx>
            <c:strRef>
              <c:f>Sheet1!$A$5</c:f>
              <c:strCache>
                <c:ptCount val="1"/>
                <c:pt idx="0">
                  <c:v>Maine </c:v>
                </c:pt>
              </c:strCache>
            </c:strRef>
          </c:tx>
          <c:spPr>
            <a:ln w="31750">
              <a:solidFill>
                <a:schemeClr val="tx1"/>
              </a:solidFill>
            </a:ln>
          </c:spPr>
          <c:marker>
            <c:symbol val="circle"/>
            <c:size val="5"/>
            <c:spPr>
              <a:solidFill>
                <a:schemeClr val="tx1"/>
              </a:solidFill>
              <a:ln>
                <a:solidFill>
                  <a:schemeClr val="tx1"/>
                </a:solidFill>
              </a:ln>
            </c:spPr>
          </c:marker>
          <c:cat>
            <c:numRef>
              <c:f>Sheet1!$B$4:$E$4</c:f>
              <c:numCache>
                <c:formatCode>General</c:formatCode>
                <c:ptCount val="4"/>
                <c:pt idx="0">
                  <c:v>2012</c:v>
                </c:pt>
                <c:pt idx="1">
                  <c:v>2013</c:v>
                </c:pt>
                <c:pt idx="2">
                  <c:v>2014</c:v>
                </c:pt>
                <c:pt idx="3">
                  <c:v>2015</c:v>
                </c:pt>
              </c:numCache>
            </c:numRef>
          </c:cat>
          <c:val>
            <c:numRef>
              <c:f>Sheet1!$B$5:$E$5</c:f>
              <c:numCache>
                <c:formatCode>General</c:formatCode>
                <c:ptCount val="4"/>
                <c:pt idx="0">
                  <c:v>1.91</c:v>
                </c:pt>
                <c:pt idx="1">
                  <c:v>1.72</c:v>
                </c:pt>
              </c:numCache>
            </c:numRef>
          </c:val>
          <c:smooth val="0"/>
        </c:ser>
        <c:dLbls>
          <c:showLegendKey val="0"/>
          <c:showVal val="0"/>
          <c:showCatName val="0"/>
          <c:showSerName val="0"/>
          <c:showPercent val="0"/>
          <c:showBubbleSize val="0"/>
        </c:dLbls>
        <c:marker val="1"/>
        <c:smooth val="0"/>
        <c:axId val="284950000"/>
        <c:axId val="284950392"/>
      </c:lineChart>
      <c:catAx>
        <c:axId val="284950000"/>
        <c:scaling>
          <c:orientation val="minMax"/>
        </c:scaling>
        <c:delete val="0"/>
        <c:axPos val="b"/>
        <c:numFmt formatCode="General" sourceLinked="1"/>
        <c:majorTickMark val="out"/>
        <c:minorTickMark val="none"/>
        <c:tickLblPos val="nextTo"/>
        <c:crossAx val="284950392"/>
        <c:crosses val="autoZero"/>
        <c:auto val="1"/>
        <c:lblAlgn val="ctr"/>
        <c:lblOffset val="100"/>
        <c:noMultiLvlLbl val="0"/>
      </c:catAx>
      <c:valAx>
        <c:axId val="284950392"/>
        <c:scaling>
          <c:orientation val="minMax"/>
        </c:scaling>
        <c:delete val="0"/>
        <c:axPos val="l"/>
        <c:majorGridlines/>
        <c:title>
          <c:tx>
            <c:rich>
              <a:bodyPr rot="-5400000" vert="horz"/>
              <a:lstStyle/>
              <a:p>
                <a:pPr>
                  <a:defRPr/>
                </a:pPr>
                <a:r>
                  <a:rPr lang="en-US" sz="800"/>
                  <a:t>Standardized Infection Ratio</a:t>
                </a:r>
              </a:p>
            </c:rich>
          </c:tx>
          <c:layout>
            <c:manualLayout>
              <c:xMode val="edge"/>
              <c:yMode val="edge"/>
              <c:x val="1.5677669343701114E-2"/>
              <c:y val="0.17183690239654623"/>
            </c:manualLayout>
          </c:layout>
          <c:overlay val="0"/>
        </c:title>
        <c:numFmt formatCode="0.00" sourceLinked="1"/>
        <c:majorTickMark val="out"/>
        <c:minorTickMark val="none"/>
        <c:tickLblPos val="nextTo"/>
        <c:crossAx val="284950000"/>
        <c:crosses val="autoZero"/>
        <c:crossBetween val="between"/>
        <c:majorUnit val="0.5"/>
      </c:valAx>
    </c:plotArea>
    <c:legend>
      <c:legendPos val="t"/>
      <c:layout>
        <c:manualLayout>
          <c:xMode val="edge"/>
          <c:yMode val="edge"/>
          <c:x val="0.40310520559930013"/>
          <c:y val="7.7962495898950129E-2"/>
          <c:w val="0.59689490185297911"/>
          <c:h val="0.1408326587681212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SSI </a:t>
            </a:r>
          </a:p>
        </c:rich>
      </c:tx>
      <c:layout>
        <c:manualLayout>
          <c:xMode val="edge"/>
          <c:yMode val="edge"/>
          <c:x val="8.7562554680664914E-2"/>
          <c:y val="5.2083333333333336E-2"/>
        </c:manualLayout>
      </c:layout>
      <c:overlay val="0"/>
    </c:title>
    <c:autoTitleDeleted val="0"/>
    <c:plotArea>
      <c:layout>
        <c:manualLayout>
          <c:layoutTarget val="inner"/>
          <c:xMode val="edge"/>
          <c:yMode val="edge"/>
          <c:x val="0.1915022965879265"/>
          <c:y val="0.24193015912073487"/>
          <c:w val="0.78515059055118108"/>
          <c:h val="0.59497313812335961"/>
        </c:manualLayout>
      </c:layout>
      <c:areaChart>
        <c:grouping val="standard"/>
        <c:varyColors val="0"/>
        <c:ser>
          <c:idx val="2"/>
          <c:order val="1"/>
          <c:tx>
            <c:strRef>
              <c:f>Sheet1!$A$32</c:f>
              <c:strCache>
                <c:ptCount val="1"/>
                <c:pt idx="0">
                  <c:v>HP2020 Goal</c:v>
                </c:pt>
              </c:strCache>
            </c:strRef>
          </c:tx>
          <c:spPr>
            <a:solidFill>
              <a:schemeClr val="accent3">
                <a:lumMod val="60000"/>
                <a:lumOff val="40000"/>
              </a:schemeClr>
            </a:solidFill>
          </c:spPr>
          <c:val>
            <c:numRef>
              <c:f>Sheet1!$B$32:$E$32</c:f>
              <c:numCache>
                <c:formatCode>0.00</c:formatCode>
                <c:ptCount val="4"/>
                <c:pt idx="0">
                  <c:v>0.75</c:v>
                </c:pt>
                <c:pt idx="1">
                  <c:v>0.75</c:v>
                </c:pt>
                <c:pt idx="2">
                  <c:v>0.75</c:v>
                </c:pt>
                <c:pt idx="3">
                  <c:v>0.75</c:v>
                </c:pt>
              </c:numCache>
            </c:numRef>
          </c:val>
        </c:ser>
        <c:dLbls>
          <c:showLegendKey val="0"/>
          <c:showVal val="0"/>
          <c:showCatName val="0"/>
          <c:showSerName val="0"/>
          <c:showPercent val="0"/>
          <c:showBubbleSize val="0"/>
        </c:dLbls>
        <c:axId val="284951176"/>
        <c:axId val="284929144"/>
      </c:areaChart>
      <c:lineChart>
        <c:grouping val="standard"/>
        <c:varyColors val="0"/>
        <c:ser>
          <c:idx val="1"/>
          <c:order val="0"/>
          <c:tx>
            <c:strRef>
              <c:f>Sheet1!$A$30</c:f>
              <c:strCache>
                <c:ptCount val="1"/>
                <c:pt idx="0">
                  <c:v>Maine:  COLO</c:v>
                </c:pt>
              </c:strCache>
            </c:strRef>
          </c:tx>
          <c:spPr>
            <a:ln>
              <a:solidFill>
                <a:schemeClr val="tx1"/>
              </a:solidFill>
            </a:ln>
          </c:spPr>
          <c:marker>
            <c:symbol val="triangle"/>
            <c:size val="5"/>
            <c:spPr>
              <a:solidFill>
                <a:schemeClr val="tx1"/>
              </a:solidFill>
              <a:ln>
                <a:solidFill>
                  <a:schemeClr val="tx1"/>
                </a:solidFill>
              </a:ln>
            </c:spPr>
          </c:marker>
          <c:cat>
            <c:numRef>
              <c:f>Sheet1!$B$29:$E$29</c:f>
              <c:numCache>
                <c:formatCode>General</c:formatCode>
                <c:ptCount val="4"/>
                <c:pt idx="0">
                  <c:v>2012</c:v>
                </c:pt>
                <c:pt idx="1">
                  <c:v>2013</c:v>
                </c:pt>
                <c:pt idx="2">
                  <c:v>2014</c:v>
                </c:pt>
                <c:pt idx="3">
                  <c:v>2015</c:v>
                </c:pt>
              </c:numCache>
            </c:numRef>
          </c:cat>
          <c:val>
            <c:numRef>
              <c:f>Sheet1!$B$30:$E$30</c:f>
              <c:numCache>
                <c:formatCode>0.00</c:formatCode>
                <c:ptCount val="4"/>
                <c:pt idx="0">
                  <c:v>1.22</c:v>
                </c:pt>
                <c:pt idx="1">
                  <c:v>1.2</c:v>
                </c:pt>
              </c:numCache>
            </c:numRef>
          </c:val>
          <c:smooth val="0"/>
        </c:ser>
        <c:ser>
          <c:idx val="0"/>
          <c:order val="2"/>
          <c:tx>
            <c:strRef>
              <c:f>Sheet1!$A$31</c:f>
              <c:strCache>
                <c:ptCount val="1"/>
                <c:pt idx="0">
                  <c:v>Maine:  HYST</c:v>
                </c:pt>
              </c:strCache>
            </c:strRef>
          </c:tx>
          <c:marker>
            <c:symbol val="circle"/>
            <c:size val="7"/>
          </c:marker>
          <c:val>
            <c:numRef>
              <c:f>Sheet1!$B$31:$E$31</c:f>
              <c:numCache>
                <c:formatCode>0.00</c:formatCode>
                <c:ptCount val="4"/>
                <c:pt idx="0">
                  <c:v>0.77</c:v>
                </c:pt>
                <c:pt idx="1">
                  <c:v>0.87</c:v>
                </c:pt>
              </c:numCache>
            </c:numRef>
          </c:val>
          <c:smooth val="0"/>
        </c:ser>
        <c:dLbls>
          <c:showLegendKey val="0"/>
          <c:showVal val="0"/>
          <c:showCatName val="0"/>
          <c:showSerName val="0"/>
          <c:showPercent val="0"/>
          <c:showBubbleSize val="0"/>
        </c:dLbls>
        <c:marker val="1"/>
        <c:smooth val="0"/>
        <c:axId val="284951176"/>
        <c:axId val="284929144"/>
      </c:lineChart>
      <c:catAx>
        <c:axId val="284951176"/>
        <c:scaling>
          <c:orientation val="minMax"/>
        </c:scaling>
        <c:delete val="0"/>
        <c:axPos val="b"/>
        <c:numFmt formatCode="General" sourceLinked="1"/>
        <c:majorTickMark val="out"/>
        <c:minorTickMark val="none"/>
        <c:tickLblPos val="nextTo"/>
        <c:crossAx val="284929144"/>
        <c:crosses val="autoZero"/>
        <c:auto val="1"/>
        <c:lblAlgn val="ctr"/>
        <c:lblOffset val="100"/>
        <c:noMultiLvlLbl val="0"/>
      </c:catAx>
      <c:valAx>
        <c:axId val="284929144"/>
        <c:scaling>
          <c:orientation val="minMax"/>
          <c:max val="2.5"/>
        </c:scaling>
        <c:delete val="0"/>
        <c:axPos val="l"/>
        <c:majorGridlines/>
        <c:title>
          <c:tx>
            <c:rich>
              <a:bodyPr rot="-5400000" vert="horz"/>
              <a:lstStyle/>
              <a:p>
                <a:pPr>
                  <a:defRPr/>
                </a:pPr>
                <a:r>
                  <a:rPr lang="en-US" sz="800"/>
                  <a:t>Standardized Infection Ratio</a:t>
                </a:r>
              </a:p>
            </c:rich>
          </c:tx>
          <c:layout>
            <c:manualLayout>
              <c:xMode val="edge"/>
              <c:yMode val="edge"/>
              <c:x val="1.9519356955380578E-2"/>
              <c:y val="0.15821618188137443"/>
            </c:manualLayout>
          </c:layout>
          <c:overlay val="0"/>
        </c:title>
        <c:numFmt formatCode="0.00" sourceLinked="1"/>
        <c:majorTickMark val="out"/>
        <c:minorTickMark val="none"/>
        <c:tickLblPos val="nextTo"/>
        <c:crossAx val="284951176"/>
        <c:crosses val="autoZero"/>
        <c:crossBetween val="between"/>
        <c:majorUnit val="0.5"/>
      </c:valAx>
    </c:plotArea>
    <c:legend>
      <c:legendPos val="t"/>
      <c:layout>
        <c:manualLayout>
          <c:xMode val="edge"/>
          <c:yMode val="edge"/>
          <c:x val="0.23643864829396324"/>
          <c:y val="9.318304390033437E-2"/>
          <c:w val="0.74029330708661423"/>
          <c:h val="0.2638190774098443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CLABSI </a:t>
            </a:r>
          </a:p>
        </c:rich>
      </c:tx>
      <c:layout>
        <c:manualLayout>
          <c:xMode val="edge"/>
          <c:yMode val="edge"/>
          <c:x val="8.7562554680664914E-2"/>
          <c:y val="5.2083333333333336E-2"/>
        </c:manualLayout>
      </c:layout>
      <c:overlay val="0"/>
    </c:title>
    <c:autoTitleDeleted val="0"/>
    <c:plotArea>
      <c:layout>
        <c:manualLayout>
          <c:layoutTarget val="inner"/>
          <c:xMode val="edge"/>
          <c:yMode val="edge"/>
          <c:x val="0.17066896325459319"/>
          <c:y val="0.24193015912073487"/>
          <c:w val="0.80598392388451445"/>
          <c:h val="0.59497313812335961"/>
        </c:manualLayout>
      </c:layout>
      <c:areaChart>
        <c:grouping val="standard"/>
        <c:varyColors val="0"/>
        <c:ser>
          <c:idx val="2"/>
          <c:order val="1"/>
          <c:tx>
            <c:strRef>
              <c:f>Sheet1!$A$18</c:f>
              <c:strCache>
                <c:ptCount val="1"/>
                <c:pt idx="0">
                  <c:v>HP2020 Goal</c:v>
                </c:pt>
              </c:strCache>
            </c:strRef>
          </c:tx>
          <c:spPr>
            <a:solidFill>
              <a:schemeClr val="accent3">
                <a:lumMod val="60000"/>
                <a:lumOff val="40000"/>
              </a:schemeClr>
            </a:solidFill>
          </c:spPr>
          <c:val>
            <c:numRef>
              <c:f>Sheet1!$B$18:$E$18</c:f>
              <c:numCache>
                <c:formatCode>0.00</c:formatCode>
                <c:ptCount val="4"/>
                <c:pt idx="0">
                  <c:v>0.5</c:v>
                </c:pt>
                <c:pt idx="1">
                  <c:v>0.5</c:v>
                </c:pt>
                <c:pt idx="2">
                  <c:v>0.5</c:v>
                </c:pt>
                <c:pt idx="3">
                  <c:v>0.5</c:v>
                </c:pt>
              </c:numCache>
            </c:numRef>
          </c:val>
        </c:ser>
        <c:dLbls>
          <c:showLegendKey val="0"/>
          <c:showVal val="0"/>
          <c:showCatName val="0"/>
          <c:showSerName val="0"/>
          <c:showPercent val="0"/>
          <c:showBubbleSize val="0"/>
        </c:dLbls>
        <c:axId val="284929928"/>
        <c:axId val="284930320"/>
      </c:areaChart>
      <c:lineChart>
        <c:grouping val="standard"/>
        <c:varyColors val="0"/>
        <c:ser>
          <c:idx val="1"/>
          <c:order val="0"/>
          <c:tx>
            <c:strRef>
              <c:f>Sheet1!$A$17</c:f>
              <c:strCache>
                <c:ptCount val="1"/>
                <c:pt idx="0">
                  <c:v>Maine </c:v>
                </c:pt>
              </c:strCache>
            </c:strRef>
          </c:tx>
          <c:spPr>
            <a:ln>
              <a:solidFill>
                <a:schemeClr val="tx1"/>
              </a:solidFill>
            </a:ln>
          </c:spPr>
          <c:marker>
            <c:symbol val="square"/>
            <c:size val="5"/>
            <c:spPr>
              <a:solidFill>
                <a:schemeClr val="tx1"/>
              </a:solidFill>
              <a:ln>
                <a:solidFill>
                  <a:schemeClr val="tx1"/>
                </a:solidFill>
              </a:ln>
            </c:spPr>
          </c:marker>
          <c:cat>
            <c:numRef>
              <c:f>Sheet1!$B$16:$E$16</c:f>
              <c:numCache>
                <c:formatCode>General</c:formatCode>
                <c:ptCount val="4"/>
                <c:pt idx="0">
                  <c:v>2012</c:v>
                </c:pt>
                <c:pt idx="1">
                  <c:v>2013</c:v>
                </c:pt>
                <c:pt idx="2">
                  <c:v>2014</c:v>
                </c:pt>
                <c:pt idx="3">
                  <c:v>2015</c:v>
                </c:pt>
              </c:numCache>
            </c:numRef>
          </c:cat>
          <c:val>
            <c:numRef>
              <c:f>Sheet1!$B$17:$E$17</c:f>
              <c:numCache>
                <c:formatCode>General</c:formatCode>
                <c:ptCount val="4"/>
                <c:pt idx="0">
                  <c:v>0.93</c:v>
                </c:pt>
                <c:pt idx="1">
                  <c:v>0.66</c:v>
                </c:pt>
              </c:numCache>
            </c:numRef>
          </c:val>
          <c:smooth val="0"/>
        </c:ser>
        <c:dLbls>
          <c:showLegendKey val="0"/>
          <c:showVal val="0"/>
          <c:showCatName val="0"/>
          <c:showSerName val="0"/>
          <c:showPercent val="0"/>
          <c:showBubbleSize val="0"/>
        </c:dLbls>
        <c:marker val="1"/>
        <c:smooth val="0"/>
        <c:axId val="284929928"/>
        <c:axId val="284930320"/>
      </c:lineChart>
      <c:catAx>
        <c:axId val="284929928"/>
        <c:scaling>
          <c:orientation val="minMax"/>
        </c:scaling>
        <c:delete val="0"/>
        <c:axPos val="b"/>
        <c:numFmt formatCode="General" sourceLinked="1"/>
        <c:majorTickMark val="out"/>
        <c:minorTickMark val="none"/>
        <c:tickLblPos val="nextTo"/>
        <c:crossAx val="284930320"/>
        <c:crosses val="autoZero"/>
        <c:auto val="1"/>
        <c:lblAlgn val="ctr"/>
        <c:lblOffset val="100"/>
        <c:noMultiLvlLbl val="0"/>
      </c:catAx>
      <c:valAx>
        <c:axId val="284930320"/>
        <c:scaling>
          <c:orientation val="minMax"/>
          <c:max val="2.5"/>
        </c:scaling>
        <c:delete val="0"/>
        <c:axPos val="l"/>
        <c:majorGridlines/>
        <c:title>
          <c:tx>
            <c:rich>
              <a:bodyPr rot="-5400000" vert="horz"/>
              <a:lstStyle/>
              <a:p>
                <a:pPr>
                  <a:defRPr/>
                </a:pPr>
                <a:r>
                  <a:rPr lang="en-US" sz="800"/>
                  <a:t>Standardized Infection Ratio</a:t>
                </a:r>
              </a:p>
            </c:rich>
          </c:tx>
          <c:layout>
            <c:manualLayout>
              <c:xMode val="edge"/>
              <c:yMode val="edge"/>
              <c:x val="1.2500000000000001E-2"/>
              <c:y val="0.17312299838666956"/>
            </c:manualLayout>
          </c:layout>
          <c:overlay val="0"/>
        </c:title>
        <c:numFmt formatCode="0.00" sourceLinked="1"/>
        <c:majorTickMark val="out"/>
        <c:minorTickMark val="none"/>
        <c:tickLblPos val="nextTo"/>
        <c:crossAx val="284929928"/>
        <c:crosses val="autoZero"/>
        <c:crossBetween val="between"/>
        <c:majorUnit val="0.5"/>
      </c:valAx>
    </c:plotArea>
    <c:legend>
      <c:legendPos val="t"/>
      <c:layout>
        <c:manualLayout>
          <c:xMode val="edge"/>
          <c:yMode val="edge"/>
          <c:x val="0.40310520559930013"/>
          <c:y val="7.7962495898950129E-2"/>
          <c:w val="0.59689468503937004"/>
          <c:h val="0.13824857328613741"/>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MRSA-BSI </a:t>
            </a:r>
          </a:p>
        </c:rich>
      </c:tx>
      <c:layout>
        <c:manualLayout>
          <c:xMode val="edge"/>
          <c:yMode val="edge"/>
          <c:x val="8.7562589589019579E-2"/>
          <c:y val="2.5767371183865174E-2"/>
        </c:manualLayout>
      </c:layout>
      <c:overlay val="0"/>
    </c:title>
    <c:autoTitleDeleted val="0"/>
    <c:plotArea>
      <c:layout>
        <c:manualLayout>
          <c:layoutTarget val="inner"/>
          <c:xMode val="edge"/>
          <c:yMode val="edge"/>
          <c:x val="0.19554427579345598"/>
          <c:y val="0.24193015912073487"/>
          <c:w val="0.7811085802553982"/>
          <c:h val="0.59497313812335961"/>
        </c:manualLayout>
      </c:layout>
      <c:areaChart>
        <c:grouping val="standard"/>
        <c:varyColors val="0"/>
        <c:ser>
          <c:idx val="0"/>
          <c:order val="1"/>
          <c:tx>
            <c:strRef>
              <c:f>Sheet1!$A$44</c:f>
              <c:strCache>
                <c:ptCount val="1"/>
                <c:pt idx="0">
                  <c:v>HP2020 Goal</c:v>
                </c:pt>
              </c:strCache>
            </c:strRef>
          </c:tx>
          <c:spPr>
            <a:solidFill>
              <a:schemeClr val="accent3">
                <a:lumMod val="60000"/>
                <a:lumOff val="40000"/>
              </a:schemeClr>
            </a:solidFill>
          </c:spPr>
          <c:val>
            <c:numRef>
              <c:f>Sheet1!$B$44:$E$44</c:f>
              <c:numCache>
                <c:formatCode>0.00</c:formatCode>
                <c:ptCount val="4"/>
                <c:pt idx="0">
                  <c:v>0.75</c:v>
                </c:pt>
                <c:pt idx="1">
                  <c:v>0.75</c:v>
                </c:pt>
                <c:pt idx="2">
                  <c:v>0.75</c:v>
                </c:pt>
                <c:pt idx="3">
                  <c:v>0.75</c:v>
                </c:pt>
              </c:numCache>
            </c:numRef>
          </c:val>
        </c:ser>
        <c:dLbls>
          <c:showLegendKey val="0"/>
          <c:showVal val="0"/>
          <c:showCatName val="0"/>
          <c:showSerName val="0"/>
          <c:showPercent val="0"/>
          <c:showBubbleSize val="0"/>
        </c:dLbls>
        <c:axId val="279129200"/>
        <c:axId val="279129592"/>
      </c:areaChart>
      <c:lineChart>
        <c:grouping val="standard"/>
        <c:varyColors val="0"/>
        <c:ser>
          <c:idx val="2"/>
          <c:order val="0"/>
          <c:tx>
            <c:strRef>
              <c:f>Sheet1!$A$43</c:f>
              <c:strCache>
                <c:ptCount val="1"/>
                <c:pt idx="0">
                  <c:v>Maine </c:v>
                </c:pt>
              </c:strCache>
            </c:strRef>
          </c:tx>
          <c:spPr>
            <a:ln>
              <a:solidFill>
                <a:schemeClr val="tx1"/>
              </a:solidFill>
            </a:ln>
          </c:spPr>
          <c:marker>
            <c:symbol val="diamond"/>
            <c:size val="7"/>
            <c:spPr>
              <a:solidFill>
                <a:schemeClr val="tx1"/>
              </a:solidFill>
              <a:ln>
                <a:solidFill>
                  <a:schemeClr val="tx1"/>
                </a:solidFill>
              </a:ln>
            </c:spPr>
          </c:marker>
          <c:cat>
            <c:numRef>
              <c:f>Sheet1!$B$42:$E$42</c:f>
              <c:numCache>
                <c:formatCode>General</c:formatCode>
                <c:ptCount val="4"/>
                <c:pt idx="0">
                  <c:v>2012</c:v>
                </c:pt>
                <c:pt idx="1">
                  <c:v>2013</c:v>
                </c:pt>
                <c:pt idx="2">
                  <c:v>2014</c:v>
                </c:pt>
                <c:pt idx="3">
                  <c:v>2015</c:v>
                </c:pt>
              </c:numCache>
            </c:numRef>
          </c:cat>
          <c:val>
            <c:numRef>
              <c:f>Sheet1!$B$43:$E$43</c:f>
              <c:numCache>
                <c:formatCode>General</c:formatCode>
                <c:ptCount val="4"/>
                <c:pt idx="1">
                  <c:v>0.72</c:v>
                </c:pt>
              </c:numCache>
            </c:numRef>
          </c:val>
          <c:smooth val="0"/>
        </c:ser>
        <c:dLbls>
          <c:showLegendKey val="0"/>
          <c:showVal val="0"/>
          <c:showCatName val="0"/>
          <c:showSerName val="0"/>
          <c:showPercent val="0"/>
          <c:showBubbleSize val="0"/>
        </c:dLbls>
        <c:marker val="1"/>
        <c:smooth val="0"/>
        <c:axId val="279129200"/>
        <c:axId val="279129592"/>
      </c:lineChart>
      <c:catAx>
        <c:axId val="279129200"/>
        <c:scaling>
          <c:orientation val="minMax"/>
        </c:scaling>
        <c:delete val="0"/>
        <c:axPos val="b"/>
        <c:numFmt formatCode="General" sourceLinked="1"/>
        <c:majorTickMark val="out"/>
        <c:minorTickMark val="none"/>
        <c:tickLblPos val="nextTo"/>
        <c:crossAx val="279129592"/>
        <c:crosses val="autoZero"/>
        <c:auto val="1"/>
        <c:lblAlgn val="ctr"/>
        <c:lblOffset val="100"/>
        <c:noMultiLvlLbl val="0"/>
      </c:catAx>
      <c:valAx>
        <c:axId val="279129592"/>
        <c:scaling>
          <c:orientation val="minMax"/>
          <c:max val="2.5"/>
          <c:min val="0"/>
        </c:scaling>
        <c:delete val="0"/>
        <c:axPos val="l"/>
        <c:majorGridlines/>
        <c:title>
          <c:tx>
            <c:rich>
              <a:bodyPr rot="-5400000" vert="horz"/>
              <a:lstStyle/>
              <a:p>
                <a:pPr>
                  <a:defRPr/>
                </a:pPr>
                <a:r>
                  <a:rPr lang="en-US" sz="800"/>
                  <a:t>Standardized Infection Ratio</a:t>
                </a:r>
              </a:p>
            </c:rich>
          </c:tx>
          <c:layout/>
          <c:overlay val="0"/>
        </c:title>
        <c:numFmt formatCode="0.00" sourceLinked="1"/>
        <c:majorTickMark val="out"/>
        <c:minorTickMark val="none"/>
        <c:tickLblPos val="nextTo"/>
        <c:crossAx val="279129200"/>
        <c:crosses val="autoZero"/>
        <c:crossBetween val="between"/>
        <c:majorUnit val="0.5"/>
      </c:valAx>
    </c:plotArea>
    <c:legend>
      <c:legendPos val="t"/>
      <c:layout>
        <c:manualLayout>
          <c:xMode val="edge"/>
          <c:yMode val="edge"/>
          <c:x val="0.40310520559930013"/>
          <c:y val="7.7962495898950129E-2"/>
          <c:w val="0.59689490185297911"/>
          <c:h val="0.1586220472440944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CDI </a:t>
            </a:r>
          </a:p>
        </c:rich>
      </c:tx>
      <c:layout>
        <c:manualLayout>
          <c:xMode val="edge"/>
          <c:yMode val="edge"/>
          <c:x val="0.12073001136052024"/>
          <c:y val="8.0153442358166433E-4"/>
        </c:manualLayout>
      </c:layout>
      <c:overlay val="0"/>
    </c:title>
    <c:autoTitleDeleted val="0"/>
    <c:plotArea>
      <c:layout>
        <c:manualLayout>
          <c:layoutTarget val="inner"/>
          <c:xMode val="edge"/>
          <c:yMode val="edge"/>
          <c:x val="0.20785801961321998"/>
          <c:y val="0.24193015912073487"/>
          <c:w val="0.76879480550005874"/>
          <c:h val="0.59497313812335961"/>
        </c:manualLayout>
      </c:layout>
      <c:areaChart>
        <c:grouping val="standard"/>
        <c:varyColors val="0"/>
        <c:ser>
          <c:idx val="1"/>
          <c:order val="1"/>
          <c:tx>
            <c:strRef>
              <c:f>Sheet1!$A$56</c:f>
              <c:strCache>
                <c:ptCount val="1"/>
                <c:pt idx="0">
                  <c:v>HP2020 Goal</c:v>
                </c:pt>
              </c:strCache>
            </c:strRef>
          </c:tx>
          <c:spPr>
            <a:solidFill>
              <a:schemeClr val="accent3">
                <a:lumMod val="60000"/>
                <a:lumOff val="40000"/>
              </a:schemeClr>
            </a:solidFill>
          </c:spPr>
          <c:val>
            <c:numRef>
              <c:f>Sheet1!$B$56:$E$56</c:f>
              <c:numCache>
                <c:formatCode>0.00</c:formatCode>
                <c:ptCount val="4"/>
                <c:pt idx="0">
                  <c:v>0.7</c:v>
                </c:pt>
                <c:pt idx="1">
                  <c:v>0.7</c:v>
                </c:pt>
                <c:pt idx="2">
                  <c:v>0.7</c:v>
                </c:pt>
                <c:pt idx="3">
                  <c:v>0.7</c:v>
                </c:pt>
              </c:numCache>
            </c:numRef>
          </c:val>
        </c:ser>
        <c:dLbls>
          <c:showLegendKey val="0"/>
          <c:showVal val="0"/>
          <c:showCatName val="0"/>
          <c:showSerName val="0"/>
          <c:showPercent val="0"/>
          <c:showBubbleSize val="0"/>
        </c:dLbls>
        <c:axId val="279130376"/>
        <c:axId val="279130768"/>
      </c:areaChart>
      <c:lineChart>
        <c:grouping val="standard"/>
        <c:varyColors val="0"/>
        <c:ser>
          <c:idx val="0"/>
          <c:order val="0"/>
          <c:tx>
            <c:strRef>
              <c:f>Sheet1!$A$55</c:f>
              <c:strCache>
                <c:ptCount val="1"/>
                <c:pt idx="0">
                  <c:v>Maine </c:v>
                </c:pt>
              </c:strCache>
            </c:strRef>
          </c:tx>
          <c:spPr>
            <a:ln>
              <a:solidFill>
                <a:schemeClr val="tx1"/>
              </a:solidFill>
            </a:ln>
          </c:spPr>
          <c:marker>
            <c:symbol val="square"/>
            <c:size val="5"/>
            <c:spPr>
              <a:solidFill>
                <a:schemeClr val="tx1"/>
              </a:solidFill>
              <a:ln>
                <a:solidFill>
                  <a:schemeClr val="tx1"/>
                </a:solidFill>
              </a:ln>
            </c:spPr>
          </c:marker>
          <c:cat>
            <c:numRef>
              <c:f>Sheet1!$B$54:$E$54</c:f>
              <c:numCache>
                <c:formatCode>General</c:formatCode>
                <c:ptCount val="4"/>
                <c:pt idx="0">
                  <c:v>2012</c:v>
                </c:pt>
                <c:pt idx="1">
                  <c:v>2013</c:v>
                </c:pt>
                <c:pt idx="2">
                  <c:v>2014</c:v>
                </c:pt>
                <c:pt idx="3">
                  <c:v>2015</c:v>
                </c:pt>
              </c:numCache>
            </c:numRef>
          </c:cat>
          <c:val>
            <c:numRef>
              <c:f>Sheet1!$B$55:$E$55</c:f>
              <c:numCache>
                <c:formatCode>General</c:formatCode>
                <c:ptCount val="4"/>
                <c:pt idx="0">
                  <c:v>0.7</c:v>
                </c:pt>
                <c:pt idx="1">
                  <c:v>0.53</c:v>
                </c:pt>
              </c:numCache>
            </c:numRef>
          </c:val>
          <c:smooth val="0"/>
        </c:ser>
        <c:dLbls>
          <c:showLegendKey val="0"/>
          <c:showVal val="0"/>
          <c:showCatName val="0"/>
          <c:showSerName val="0"/>
          <c:showPercent val="0"/>
          <c:showBubbleSize val="0"/>
        </c:dLbls>
        <c:marker val="1"/>
        <c:smooth val="0"/>
        <c:axId val="279130376"/>
        <c:axId val="279130768"/>
      </c:lineChart>
      <c:catAx>
        <c:axId val="279130376"/>
        <c:scaling>
          <c:orientation val="minMax"/>
        </c:scaling>
        <c:delete val="0"/>
        <c:axPos val="b"/>
        <c:numFmt formatCode="General" sourceLinked="1"/>
        <c:majorTickMark val="out"/>
        <c:minorTickMark val="none"/>
        <c:tickLblPos val="nextTo"/>
        <c:crossAx val="279130768"/>
        <c:crosses val="autoZero"/>
        <c:auto val="1"/>
        <c:lblAlgn val="ctr"/>
        <c:lblOffset val="100"/>
        <c:noMultiLvlLbl val="0"/>
      </c:catAx>
      <c:valAx>
        <c:axId val="279130768"/>
        <c:scaling>
          <c:orientation val="minMax"/>
          <c:max val="2.5"/>
          <c:min val="0"/>
        </c:scaling>
        <c:delete val="0"/>
        <c:axPos val="l"/>
        <c:majorGridlines/>
        <c:title>
          <c:tx>
            <c:rich>
              <a:bodyPr rot="-5400000" vert="horz"/>
              <a:lstStyle/>
              <a:p>
                <a:pPr>
                  <a:defRPr/>
                </a:pPr>
                <a:r>
                  <a:rPr lang="en-US" sz="800"/>
                  <a:t>Standardized Infection Ratio</a:t>
                </a:r>
              </a:p>
            </c:rich>
          </c:tx>
          <c:layout/>
          <c:overlay val="0"/>
        </c:title>
        <c:numFmt formatCode="0.00" sourceLinked="1"/>
        <c:majorTickMark val="out"/>
        <c:minorTickMark val="none"/>
        <c:tickLblPos val="nextTo"/>
        <c:crossAx val="279130376"/>
        <c:crosses val="autoZero"/>
        <c:crossBetween val="between"/>
        <c:majorUnit val="0.5"/>
      </c:valAx>
    </c:plotArea>
    <c:legend>
      <c:legendPos val="t"/>
      <c:layout>
        <c:manualLayout>
          <c:xMode val="edge"/>
          <c:yMode val="edge"/>
          <c:x val="0.40310520559930013"/>
          <c:y val="7.7962495898950129E-2"/>
          <c:w val="0.5968947911361826"/>
          <c:h val="0.1545548152634766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92C9-73CD-456A-B161-2074D588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821</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Owsiak, Rita</dc:creator>
  <cp:lastModifiedBy>Maureen Booth</cp:lastModifiedBy>
  <cp:revision>2</cp:revision>
  <cp:lastPrinted>2015-06-09T14:46:00Z</cp:lastPrinted>
  <dcterms:created xsi:type="dcterms:W3CDTF">2015-06-22T21:59:00Z</dcterms:created>
  <dcterms:modified xsi:type="dcterms:W3CDTF">2015-06-22T21:59:00Z</dcterms:modified>
</cp:coreProperties>
</file>