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489" w:rsidRDefault="008915C7">
      <w:bookmarkStart w:id="0" w:name="_GoBack"/>
      <w:bookmarkEnd w:id="0"/>
      <w:r>
        <w:rPr>
          <w:noProof/>
        </w:rPr>
        <mc:AlternateContent>
          <mc:Choice Requires="wps">
            <w:drawing>
              <wp:anchor distT="0" distB="0" distL="114300" distR="114300" simplePos="0" relativeHeight="251686912" behindDoc="0" locked="0" layoutInCell="1" allowOverlap="1" wp14:anchorId="2F3223CE" wp14:editId="3194565A">
                <wp:simplePos x="0" y="0"/>
                <wp:positionH relativeFrom="column">
                  <wp:posOffset>-278794</wp:posOffset>
                </wp:positionH>
                <wp:positionV relativeFrom="paragraph">
                  <wp:posOffset>1226746</wp:posOffset>
                </wp:positionV>
                <wp:extent cx="6423660" cy="31242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3124200"/>
                        </a:xfrm>
                        <a:prstGeom prst="rect">
                          <a:avLst/>
                        </a:prstGeom>
                        <a:noFill/>
                        <a:ln w="0">
                          <a:noFill/>
                          <a:miter lim="800000"/>
                          <a:headEnd/>
                          <a:tailEnd/>
                        </a:ln>
                      </wps:spPr>
                      <wps:txbx>
                        <w:txbxContent>
                          <w:p w:rsidR="00153AC1" w:rsidRPr="007A6400" w:rsidRDefault="00153AC1" w:rsidP="00673CAA">
                            <w:pPr>
                              <w:spacing w:after="0"/>
                              <w:jc w:val="center"/>
                              <w:rPr>
                                <w:rFonts w:ascii="Arial Black" w:hAnsi="Arial Black"/>
                                <w:b/>
                                <w:sz w:val="72"/>
                                <w:szCs w:val="72"/>
                              </w:rPr>
                            </w:pPr>
                            <w:r w:rsidRPr="007A6400">
                              <w:rPr>
                                <w:rFonts w:ascii="Arial Black" w:hAnsi="Arial Black"/>
                                <w:b/>
                                <w:sz w:val="72"/>
                                <w:szCs w:val="72"/>
                              </w:rPr>
                              <w:t xml:space="preserve">State of </w:t>
                            </w:r>
                            <w:r w:rsidR="00313E50" w:rsidRPr="007A6400">
                              <w:rPr>
                                <w:rFonts w:ascii="Arial Black" w:hAnsi="Arial Black"/>
                                <w:b/>
                                <w:sz w:val="72"/>
                                <w:szCs w:val="72"/>
                              </w:rPr>
                              <w:t xml:space="preserve">Maine </w:t>
                            </w:r>
                          </w:p>
                          <w:p w:rsidR="00313E50" w:rsidRPr="007A6400" w:rsidRDefault="001C63D8" w:rsidP="00673CAA">
                            <w:pPr>
                              <w:spacing w:after="0"/>
                              <w:jc w:val="center"/>
                              <w:rPr>
                                <w:rFonts w:ascii="Arial Black" w:hAnsi="Arial Black"/>
                                <w:b/>
                                <w:sz w:val="72"/>
                                <w:szCs w:val="72"/>
                              </w:rPr>
                            </w:pPr>
                            <w:r>
                              <w:rPr>
                                <w:rFonts w:ascii="Arial Black" w:hAnsi="Arial Black"/>
                                <w:b/>
                                <w:sz w:val="72"/>
                                <w:szCs w:val="72"/>
                              </w:rPr>
                              <w:t>Healthcare-</w:t>
                            </w:r>
                            <w:r w:rsidR="00153AC1" w:rsidRPr="007A6400">
                              <w:rPr>
                                <w:rFonts w:ascii="Arial Black" w:hAnsi="Arial Black"/>
                                <w:b/>
                                <w:sz w:val="72"/>
                                <w:szCs w:val="72"/>
                              </w:rPr>
                              <w:t>Associated Infections</w:t>
                            </w:r>
                            <w:r w:rsidR="00313E50" w:rsidRPr="007A6400">
                              <w:rPr>
                                <w:rFonts w:ascii="Arial Black" w:hAnsi="Arial Black"/>
                                <w:b/>
                                <w:sz w:val="72"/>
                                <w:szCs w:val="72"/>
                              </w:rPr>
                              <w:t xml:space="preserve"> Plan</w:t>
                            </w:r>
                          </w:p>
                          <w:p w:rsidR="00313E50" w:rsidRDefault="00F639A4" w:rsidP="00673CAA">
                            <w:pPr>
                              <w:spacing w:after="0"/>
                              <w:jc w:val="center"/>
                              <w:rPr>
                                <w:rFonts w:ascii="Arial Black" w:hAnsi="Arial Black"/>
                                <w:b/>
                                <w:sz w:val="72"/>
                                <w:szCs w:val="72"/>
                              </w:rPr>
                            </w:pPr>
                            <w:r>
                              <w:rPr>
                                <w:rFonts w:ascii="Arial Black" w:hAnsi="Arial Black"/>
                                <w:b/>
                                <w:sz w:val="72"/>
                                <w:szCs w:val="72"/>
                              </w:rPr>
                              <w:t>2015</w:t>
                            </w:r>
                            <w:r w:rsidR="00313E50" w:rsidRPr="007A6400">
                              <w:rPr>
                                <w:rFonts w:ascii="Arial Black" w:hAnsi="Arial Black"/>
                                <w:b/>
                                <w:sz w:val="72"/>
                                <w:szCs w:val="72"/>
                              </w:rPr>
                              <w:t>-2018</w:t>
                            </w:r>
                          </w:p>
                          <w:p w:rsidR="00C027AF" w:rsidRPr="007A6400" w:rsidRDefault="00C027AF" w:rsidP="00673CAA">
                            <w:pPr>
                              <w:spacing w:after="0"/>
                              <w:jc w:val="center"/>
                              <w:rPr>
                                <w:rFonts w:ascii="Arial Black" w:hAnsi="Arial Black"/>
                                <w:b/>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3223CE" id="_x0000_t202" coordsize="21600,21600" o:spt="202" path="m,l,21600r21600,l21600,xe">
                <v:stroke joinstyle="miter"/>
                <v:path gradientshapeok="t" o:connecttype="rect"/>
              </v:shapetype>
              <v:shape id="Text Box 2" o:spid="_x0000_s1026" type="#_x0000_t202" style="position:absolute;margin-left:-21.95pt;margin-top:96.6pt;width:505.8pt;height:24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" filled="f" stroked="f" strokeweight="0">
                <v:textbox>
                  <w:txbxContent>
                    <w:p w:rsidR="00153AC1" w:rsidRPr="007A6400" w:rsidRDefault="00153AC1" w:rsidP="00673CAA">
                      <w:pPr>
                        <w:spacing w:after="0"/>
                        <w:jc w:val="center"/>
                        <w:rPr>
                          <w:rFonts w:ascii="Arial Black" w:hAnsi="Arial Black"/>
                          <w:b/>
                          <w:sz w:val="72"/>
                          <w:szCs w:val="72"/>
                        </w:rPr>
                      </w:pPr>
                      <w:r w:rsidRPr="007A6400">
                        <w:rPr>
                          <w:rFonts w:ascii="Arial Black" w:hAnsi="Arial Black"/>
                          <w:b/>
                          <w:sz w:val="72"/>
                          <w:szCs w:val="72"/>
                        </w:rPr>
                        <w:t xml:space="preserve">State of </w:t>
                      </w:r>
                      <w:r w:rsidR="00313E50" w:rsidRPr="007A6400">
                        <w:rPr>
                          <w:rFonts w:ascii="Arial Black" w:hAnsi="Arial Black"/>
                          <w:b/>
                          <w:sz w:val="72"/>
                          <w:szCs w:val="72"/>
                        </w:rPr>
                        <w:t xml:space="preserve">Maine </w:t>
                      </w:r>
                    </w:p>
                    <w:p w:rsidR="00313E50" w:rsidRPr="007A6400" w:rsidRDefault="001C63D8" w:rsidP="00673CAA">
                      <w:pPr>
                        <w:spacing w:after="0"/>
                        <w:jc w:val="center"/>
                        <w:rPr>
                          <w:rFonts w:ascii="Arial Black" w:hAnsi="Arial Black"/>
                          <w:b/>
                          <w:sz w:val="72"/>
                          <w:szCs w:val="72"/>
                        </w:rPr>
                      </w:pPr>
                      <w:r>
                        <w:rPr>
                          <w:rFonts w:ascii="Arial Black" w:hAnsi="Arial Black"/>
                          <w:b/>
                          <w:sz w:val="72"/>
                          <w:szCs w:val="72"/>
                        </w:rPr>
                        <w:t>Healthcare-</w:t>
                      </w:r>
                      <w:r w:rsidR="00153AC1" w:rsidRPr="007A6400">
                        <w:rPr>
                          <w:rFonts w:ascii="Arial Black" w:hAnsi="Arial Black"/>
                          <w:b/>
                          <w:sz w:val="72"/>
                          <w:szCs w:val="72"/>
                        </w:rPr>
                        <w:t>Associated Infections</w:t>
                      </w:r>
                      <w:r w:rsidR="00313E50" w:rsidRPr="007A6400">
                        <w:rPr>
                          <w:rFonts w:ascii="Arial Black" w:hAnsi="Arial Black"/>
                          <w:b/>
                          <w:sz w:val="72"/>
                          <w:szCs w:val="72"/>
                        </w:rPr>
                        <w:t xml:space="preserve"> Plan</w:t>
                      </w:r>
                    </w:p>
                    <w:p w:rsidR="00313E50" w:rsidRDefault="00F639A4" w:rsidP="00673CAA">
                      <w:pPr>
                        <w:spacing w:after="0"/>
                        <w:jc w:val="center"/>
                        <w:rPr>
                          <w:rFonts w:ascii="Arial Black" w:hAnsi="Arial Black"/>
                          <w:b/>
                          <w:sz w:val="72"/>
                          <w:szCs w:val="72"/>
                        </w:rPr>
                      </w:pPr>
                      <w:r>
                        <w:rPr>
                          <w:rFonts w:ascii="Arial Black" w:hAnsi="Arial Black"/>
                          <w:b/>
                          <w:sz w:val="72"/>
                          <w:szCs w:val="72"/>
                        </w:rPr>
                        <w:t>2015</w:t>
                      </w:r>
                      <w:r w:rsidR="00313E50" w:rsidRPr="007A6400">
                        <w:rPr>
                          <w:rFonts w:ascii="Arial Black" w:hAnsi="Arial Black"/>
                          <w:b/>
                          <w:sz w:val="72"/>
                          <w:szCs w:val="72"/>
                        </w:rPr>
                        <w:t>-2018</w:t>
                      </w:r>
                    </w:p>
                    <w:p w:rsidR="00C027AF" w:rsidRPr="007A6400" w:rsidRDefault="00C027AF" w:rsidP="00673CAA">
                      <w:pPr>
                        <w:spacing w:after="0"/>
                        <w:jc w:val="center"/>
                        <w:rPr>
                          <w:rFonts w:ascii="Arial Black" w:hAnsi="Arial Black"/>
                          <w:b/>
                          <w:sz w:val="72"/>
                          <w:szCs w:val="72"/>
                        </w:rPr>
                      </w:pPr>
                    </w:p>
                  </w:txbxContent>
                </v:textbox>
              </v:shape>
            </w:pict>
          </mc:Fallback>
        </mc:AlternateContent>
      </w:r>
      <w:r>
        <w:rPr>
          <w:rFonts w:ascii="Arial" w:hAnsi="Arial" w:cs="Arial"/>
          <w:noProof/>
          <w:color w:val="666666"/>
          <w:sz w:val="18"/>
          <w:szCs w:val="18"/>
        </w:rPr>
        <w:drawing>
          <wp:inline distT="0" distB="0" distL="0" distR="0" wp14:anchorId="52FE1182" wp14:editId="77F28DAD">
            <wp:extent cx="6149340" cy="6263640"/>
            <wp:effectExtent l="0" t="0" r="3810" b="3810"/>
            <wp:docPr id="8" name="TB_Image" descr="Teacher State of Maine Outline Map Rubber Stamp">
              <a:hlinkClick xmlns:a="http://schemas.openxmlformats.org/drawingml/2006/main" r:id="" tooltip="Clos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Image" descr="Teacher State of Maine Outline Map Rubber Stamp">
                      <a:hlinkClick r:id="" tooltip="Close"/>
                    </pic:cNvPr>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6149340" cy="6263640"/>
                    </a:xfrm>
                    <a:prstGeom prst="rect">
                      <a:avLst/>
                    </a:prstGeom>
                    <a:noFill/>
                    <a:ln>
                      <a:noFill/>
                    </a:ln>
                  </pic:spPr>
                </pic:pic>
              </a:graphicData>
            </a:graphic>
          </wp:inline>
        </w:drawing>
      </w:r>
    </w:p>
    <w:p w:rsidR="001C63D8" w:rsidRDefault="001C63D8" w:rsidP="007A6400">
      <w:pPr>
        <w:spacing w:after="0"/>
        <w:jc w:val="center"/>
      </w:pPr>
      <w:r>
        <w:rPr>
          <w:rFonts w:ascii="BookAntiqua-Italic" w:hAnsi="BookAntiqua-Italic" w:cs="BookAntiqua-Italic"/>
          <w:i/>
          <w:iCs/>
          <w:noProof/>
          <w:sz w:val="28"/>
          <w:szCs w:val="28"/>
        </w:rPr>
        <w:drawing>
          <wp:anchor distT="0" distB="0" distL="114300" distR="114300" simplePos="0" relativeHeight="251689984" behindDoc="1" locked="0" layoutInCell="1" allowOverlap="1" wp14:anchorId="294BF0B1" wp14:editId="615D844D">
            <wp:simplePos x="0" y="0"/>
            <wp:positionH relativeFrom="column">
              <wp:posOffset>1584960</wp:posOffset>
            </wp:positionH>
            <wp:positionV relativeFrom="paragraph">
              <wp:posOffset>85725</wp:posOffset>
            </wp:positionV>
            <wp:extent cx="2774950" cy="1148080"/>
            <wp:effectExtent l="0" t="0" r="6350" b="0"/>
            <wp:wrapTight wrapText="bothSides">
              <wp:wrapPolygon edited="0">
                <wp:start x="0" y="0"/>
                <wp:lineTo x="0" y="21146"/>
                <wp:lineTo x="21501" y="21146"/>
                <wp:lineTo x="21501" y="0"/>
                <wp:lineTo x="0" y="0"/>
              </wp:wrapPolygon>
            </wp:wrapTight>
            <wp:docPr id="5" name="Picture 5" descr="P:\Office - Rita Specific\MaineCDC logo 7 5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ffice - Rita Specific\MaineCDC logo 7 5 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4950" cy="1148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63D8" w:rsidRDefault="001C63D8" w:rsidP="007A6400">
      <w:pPr>
        <w:spacing w:after="0"/>
        <w:jc w:val="center"/>
      </w:pPr>
    </w:p>
    <w:p w:rsidR="001C63D8" w:rsidRDefault="001C63D8" w:rsidP="007A6400">
      <w:pPr>
        <w:spacing w:after="0"/>
        <w:jc w:val="center"/>
      </w:pPr>
    </w:p>
    <w:p w:rsidR="001C63D8" w:rsidRDefault="001C63D8" w:rsidP="007A6400">
      <w:pPr>
        <w:spacing w:after="0"/>
        <w:jc w:val="center"/>
      </w:pPr>
    </w:p>
    <w:p w:rsidR="001C63D8" w:rsidRDefault="001C63D8" w:rsidP="007A6400">
      <w:pPr>
        <w:spacing w:after="0"/>
        <w:jc w:val="center"/>
      </w:pPr>
    </w:p>
    <w:p w:rsidR="001C63D8" w:rsidRDefault="001C63D8" w:rsidP="007A6400">
      <w:pPr>
        <w:spacing w:after="0"/>
        <w:jc w:val="center"/>
      </w:pPr>
    </w:p>
    <w:p w:rsidR="001C63D8" w:rsidRDefault="001C63D8" w:rsidP="007A6400">
      <w:pPr>
        <w:spacing w:after="0"/>
        <w:jc w:val="center"/>
      </w:pPr>
    </w:p>
    <w:p w:rsidR="000B0F08" w:rsidRDefault="001C63D8" w:rsidP="007A6400">
      <w:pPr>
        <w:spacing w:after="0"/>
        <w:jc w:val="center"/>
      </w:pPr>
      <w:r>
        <w:t>D</w:t>
      </w:r>
      <w:r w:rsidR="000B0F08">
        <w:t>epartment of Health and Human Services</w:t>
      </w:r>
    </w:p>
    <w:p w:rsidR="007A6400" w:rsidRDefault="007A6400" w:rsidP="007A6400">
      <w:pPr>
        <w:spacing w:after="0"/>
        <w:jc w:val="center"/>
      </w:pPr>
      <w:r>
        <w:t>Maine Center for Disease Control and Prevention</w:t>
      </w:r>
    </w:p>
    <w:p w:rsidR="00313E50" w:rsidRDefault="007A6400" w:rsidP="007A6400">
      <w:pPr>
        <w:spacing w:after="0"/>
        <w:jc w:val="center"/>
      </w:pPr>
      <w:r>
        <w:t>Division of Infectious Disease</w:t>
      </w:r>
    </w:p>
    <w:p w:rsidR="00DD1A5A" w:rsidRDefault="00DD1A5A" w:rsidP="007A6400">
      <w:pPr>
        <w:spacing w:after="0"/>
        <w:jc w:val="center"/>
      </w:pPr>
      <w:r>
        <w:t>Healthcare Associated Infection Program</w:t>
      </w:r>
    </w:p>
    <w:p w:rsidR="00A12A29" w:rsidRDefault="001C63D8">
      <w:pPr>
        <w:rPr>
          <w:b/>
          <w:sz w:val="28"/>
          <w:szCs w:val="28"/>
        </w:rPr>
      </w:pPr>
      <w:r>
        <w:rPr>
          <w:b/>
          <w:sz w:val="28"/>
          <w:szCs w:val="28"/>
        </w:rPr>
        <w:lastRenderedPageBreak/>
        <w:t>I</w:t>
      </w:r>
      <w:r w:rsidR="000558E0" w:rsidRPr="00313E50">
        <w:rPr>
          <w:b/>
          <w:sz w:val="28"/>
          <w:szCs w:val="28"/>
        </w:rPr>
        <w:t>ntroduction:</w:t>
      </w:r>
    </w:p>
    <w:p w:rsidR="00F142BE" w:rsidRPr="00F142BE" w:rsidRDefault="001C63D8" w:rsidP="00E92482">
      <w:pPr>
        <w:spacing w:before="180" w:after="0"/>
        <w:rPr>
          <w:sz w:val="20"/>
          <w:szCs w:val="20"/>
        </w:rPr>
      </w:pPr>
      <w:r>
        <w:rPr>
          <w:sz w:val="20"/>
          <w:szCs w:val="20"/>
        </w:rPr>
        <w:t>Healthcare-A</w:t>
      </w:r>
      <w:r w:rsidR="00047496" w:rsidRPr="00F142BE">
        <w:rPr>
          <w:sz w:val="20"/>
          <w:szCs w:val="20"/>
        </w:rPr>
        <w:t xml:space="preserve">ssociated </w:t>
      </w:r>
      <w:r w:rsidR="000B0F08" w:rsidRPr="00F142BE">
        <w:rPr>
          <w:sz w:val="20"/>
          <w:szCs w:val="20"/>
        </w:rPr>
        <w:t xml:space="preserve">infections (HAIs) are infections caused by </w:t>
      </w:r>
      <w:r w:rsidR="00047496" w:rsidRPr="00F142BE">
        <w:rPr>
          <w:sz w:val="20"/>
          <w:szCs w:val="20"/>
        </w:rPr>
        <w:t>a wide variety of common and unusual bacteria, fungi and viruses during the course of receiving medical care. Medical advances have brought lif</w:t>
      </w:r>
      <w:r>
        <w:rPr>
          <w:sz w:val="20"/>
          <w:szCs w:val="20"/>
        </w:rPr>
        <w:t>esaving care to patients</w:t>
      </w:r>
      <w:r w:rsidR="00047496" w:rsidRPr="00F142BE">
        <w:rPr>
          <w:sz w:val="20"/>
          <w:szCs w:val="20"/>
        </w:rPr>
        <w:t xml:space="preserve">, yet many of those advances come with a risk of acquiring an HAI. These infections related to medical care can be devastating and even deadly.  </w:t>
      </w:r>
    </w:p>
    <w:p w:rsidR="00F60C30" w:rsidRPr="00F142BE" w:rsidRDefault="00E6760C" w:rsidP="00590DD8">
      <w:pPr>
        <w:spacing w:before="120" w:after="0"/>
        <w:rPr>
          <w:sz w:val="20"/>
          <w:szCs w:val="20"/>
        </w:rPr>
      </w:pPr>
      <w:r w:rsidRPr="00F142BE">
        <w:rPr>
          <w:sz w:val="20"/>
          <w:szCs w:val="20"/>
        </w:rPr>
        <w:t>On any giv</w:t>
      </w:r>
      <w:r w:rsidR="001C63D8">
        <w:rPr>
          <w:sz w:val="20"/>
          <w:szCs w:val="20"/>
        </w:rPr>
        <w:t>en day, about one in 25</w:t>
      </w:r>
      <w:r w:rsidRPr="00F142BE">
        <w:rPr>
          <w:sz w:val="20"/>
          <w:szCs w:val="20"/>
        </w:rPr>
        <w:t xml:space="preserve"> hospital patients have at least one HAI.  There were </w:t>
      </w:r>
      <w:r w:rsidR="001C63D8">
        <w:rPr>
          <w:sz w:val="20"/>
          <w:szCs w:val="20"/>
        </w:rPr>
        <w:t>an estimated 722,000 HAIs in</w:t>
      </w:r>
      <w:r w:rsidRPr="00F142BE">
        <w:rPr>
          <w:sz w:val="20"/>
          <w:szCs w:val="20"/>
        </w:rPr>
        <w:t xml:space="preserve"> United States acute care hospitals in 2011.  About 75,000 hospital patients with HAIs died during their hospitalization.</w:t>
      </w:r>
      <w:r w:rsidR="00E92482">
        <w:rPr>
          <w:rStyle w:val="FootnoteReference"/>
          <w:sz w:val="20"/>
          <w:szCs w:val="20"/>
        </w:rPr>
        <w:footnoteReference w:id="1"/>
      </w:r>
      <w:r w:rsidRPr="00F142BE">
        <w:rPr>
          <w:sz w:val="20"/>
          <w:szCs w:val="20"/>
        </w:rPr>
        <w:t xml:space="preserve">  </w:t>
      </w:r>
      <w:r w:rsidR="00047496" w:rsidRPr="00F142BE">
        <w:rPr>
          <w:sz w:val="20"/>
          <w:szCs w:val="20"/>
        </w:rPr>
        <w:t xml:space="preserve">As our ability to prevent HAIs grows, these infections are increasingly unacceptable.  </w:t>
      </w:r>
      <w:r w:rsidRPr="00F142BE">
        <w:rPr>
          <w:sz w:val="20"/>
          <w:szCs w:val="20"/>
        </w:rPr>
        <w:t xml:space="preserve"> </w:t>
      </w:r>
    </w:p>
    <w:p w:rsidR="00F142BE" w:rsidRPr="00F142BE" w:rsidRDefault="001C63D8" w:rsidP="00590DD8">
      <w:pPr>
        <w:spacing w:before="120" w:after="0"/>
        <w:rPr>
          <w:sz w:val="20"/>
          <w:szCs w:val="20"/>
        </w:rPr>
      </w:pPr>
      <w:r>
        <w:rPr>
          <w:sz w:val="20"/>
          <w:szCs w:val="20"/>
        </w:rPr>
        <w:t>T</w:t>
      </w:r>
      <w:r w:rsidR="0017219F" w:rsidRPr="00F142BE">
        <w:rPr>
          <w:sz w:val="20"/>
          <w:szCs w:val="20"/>
        </w:rPr>
        <w:t>reatment for HAIs and other infections is becoming more challenging as antibiotic resi</w:t>
      </w:r>
      <w:r>
        <w:rPr>
          <w:sz w:val="20"/>
          <w:szCs w:val="20"/>
        </w:rPr>
        <w:t>stance increases</w:t>
      </w:r>
      <w:r w:rsidR="0017219F" w:rsidRPr="00F142BE">
        <w:rPr>
          <w:sz w:val="20"/>
          <w:szCs w:val="20"/>
        </w:rPr>
        <w:t xml:space="preserve">.  </w:t>
      </w:r>
      <w:r w:rsidR="00421FB5" w:rsidRPr="00F142BE">
        <w:rPr>
          <w:sz w:val="20"/>
          <w:szCs w:val="20"/>
        </w:rPr>
        <w:t>S</w:t>
      </w:r>
      <w:r w:rsidR="0017219F" w:rsidRPr="00F142BE">
        <w:rPr>
          <w:sz w:val="20"/>
          <w:szCs w:val="20"/>
        </w:rPr>
        <w:t xml:space="preserve">everal bacteria have gained the ability to generate enzymes that destroy antibiotics or </w:t>
      </w:r>
      <w:r w:rsidR="00421FB5" w:rsidRPr="00F142BE">
        <w:rPr>
          <w:sz w:val="20"/>
          <w:szCs w:val="20"/>
        </w:rPr>
        <w:t xml:space="preserve">can </w:t>
      </w:r>
      <w:r w:rsidR="0017219F" w:rsidRPr="00F142BE">
        <w:rPr>
          <w:sz w:val="20"/>
          <w:szCs w:val="20"/>
        </w:rPr>
        <w:t>change their cell wall stru</w:t>
      </w:r>
      <w:r w:rsidR="00DB63A2" w:rsidRPr="00F142BE">
        <w:rPr>
          <w:sz w:val="20"/>
          <w:szCs w:val="20"/>
        </w:rPr>
        <w:t>cture to block antibiotics.  In these cases</w:t>
      </w:r>
      <w:r w:rsidR="000B0F08" w:rsidRPr="00F142BE">
        <w:rPr>
          <w:sz w:val="20"/>
          <w:szCs w:val="20"/>
        </w:rPr>
        <w:t>,</w:t>
      </w:r>
      <w:r w:rsidR="00DB63A2" w:rsidRPr="00F142BE">
        <w:rPr>
          <w:sz w:val="20"/>
          <w:szCs w:val="20"/>
        </w:rPr>
        <w:t xml:space="preserve"> antibiotic choices for treatment are becoming increasingly limited, </w:t>
      </w:r>
      <w:r>
        <w:rPr>
          <w:sz w:val="20"/>
          <w:szCs w:val="20"/>
        </w:rPr>
        <w:t>expensive</w:t>
      </w:r>
      <w:r w:rsidR="00DB63A2" w:rsidRPr="00F142BE">
        <w:rPr>
          <w:sz w:val="20"/>
          <w:szCs w:val="20"/>
        </w:rPr>
        <w:t xml:space="preserve"> and in some cases, nonexistent.  </w:t>
      </w:r>
    </w:p>
    <w:p w:rsidR="00F142BE" w:rsidRPr="00F142BE" w:rsidRDefault="00E6760C" w:rsidP="00590DD8">
      <w:pPr>
        <w:pStyle w:val="NormalWeb"/>
        <w:spacing w:before="120"/>
        <w:rPr>
          <w:rFonts w:asciiTheme="minorHAnsi" w:eastAsia="Times New Roman" w:hAnsiTheme="minorHAnsi"/>
          <w:sz w:val="20"/>
          <w:szCs w:val="20"/>
        </w:rPr>
      </w:pPr>
      <w:r w:rsidRPr="00F142BE">
        <w:rPr>
          <w:rFonts w:asciiTheme="minorHAnsi" w:hAnsiTheme="minorHAnsi"/>
          <w:sz w:val="20"/>
          <w:szCs w:val="20"/>
        </w:rPr>
        <w:t>Each year in the United States, at least 2 million people have an infection associated with bacteria that are resistant to antibiotics</w:t>
      </w:r>
      <w:r w:rsidR="001C63D8">
        <w:rPr>
          <w:rFonts w:asciiTheme="minorHAnsi" w:hAnsiTheme="minorHAnsi"/>
          <w:sz w:val="20"/>
          <w:szCs w:val="20"/>
        </w:rPr>
        <w:t>,</w:t>
      </w:r>
      <w:r w:rsidRPr="00F142BE">
        <w:rPr>
          <w:rFonts w:asciiTheme="minorHAnsi" w:hAnsiTheme="minorHAnsi"/>
          <w:sz w:val="20"/>
          <w:szCs w:val="20"/>
        </w:rPr>
        <w:t xml:space="preserve"> and at least 23,000 people die each year because of these infections</w:t>
      </w:r>
      <w:r w:rsidRPr="00F142BE">
        <w:rPr>
          <w:rFonts w:asciiTheme="minorHAnsi" w:hAnsiTheme="minorHAnsi"/>
          <w:sz w:val="20"/>
          <w:szCs w:val="20"/>
          <w:vertAlign w:val="superscript"/>
        </w:rPr>
        <w:t>2</w:t>
      </w:r>
      <w:r w:rsidRPr="00F142BE">
        <w:rPr>
          <w:rFonts w:asciiTheme="minorHAnsi" w:hAnsiTheme="minorHAnsi"/>
          <w:sz w:val="20"/>
          <w:szCs w:val="20"/>
        </w:rPr>
        <w:t>.</w:t>
      </w:r>
      <w:r w:rsidR="00F142BE" w:rsidRPr="00F142BE">
        <w:rPr>
          <w:rFonts w:asciiTheme="minorHAnsi" w:hAnsiTheme="minorHAnsi"/>
          <w:sz w:val="20"/>
          <w:szCs w:val="20"/>
        </w:rPr>
        <w:t xml:space="preserve">  </w:t>
      </w:r>
      <w:r w:rsidR="00F142BE" w:rsidRPr="00F142BE">
        <w:rPr>
          <w:rFonts w:asciiTheme="minorHAnsi" w:eastAsia="Times New Roman" w:hAnsiTheme="minorHAnsi"/>
          <w:sz w:val="20"/>
          <w:szCs w:val="20"/>
        </w:rPr>
        <w:t>Antibiotic-resistant infections can happen anywhere.  Data show</w:t>
      </w:r>
      <w:r w:rsidR="001C63D8">
        <w:rPr>
          <w:rFonts w:asciiTheme="minorHAnsi" w:eastAsia="Times New Roman" w:hAnsiTheme="minorHAnsi"/>
          <w:sz w:val="20"/>
          <w:szCs w:val="20"/>
        </w:rPr>
        <w:t xml:space="preserve"> that most happen in the</w:t>
      </w:r>
      <w:r w:rsidR="00F142BE" w:rsidRPr="00F142BE">
        <w:rPr>
          <w:rFonts w:asciiTheme="minorHAnsi" w:eastAsia="Times New Roman" w:hAnsiTheme="minorHAnsi"/>
          <w:sz w:val="20"/>
          <w:szCs w:val="20"/>
        </w:rPr>
        <w:t xml:space="preserve"> community; however, most deaths related to antibiotic resistance happen in inpatient healthcare settings, such as hospitals and nursing homes.</w:t>
      </w:r>
      <w:r w:rsidR="00F142BE">
        <w:rPr>
          <w:rFonts w:asciiTheme="minorHAnsi" w:eastAsia="Times New Roman" w:hAnsiTheme="minorHAnsi"/>
          <w:sz w:val="20"/>
          <w:szCs w:val="20"/>
        </w:rPr>
        <w:t xml:space="preserve">  Antibiotic resistan</w:t>
      </w:r>
      <w:r w:rsidR="001C63D8">
        <w:rPr>
          <w:rFonts w:asciiTheme="minorHAnsi" w:eastAsia="Times New Roman" w:hAnsiTheme="minorHAnsi"/>
          <w:sz w:val="20"/>
          <w:szCs w:val="20"/>
        </w:rPr>
        <w:t>ce</w:t>
      </w:r>
      <w:r w:rsidR="00F142BE">
        <w:rPr>
          <w:rFonts w:asciiTheme="minorHAnsi" w:eastAsia="Times New Roman" w:hAnsiTheme="minorHAnsi"/>
          <w:sz w:val="20"/>
          <w:szCs w:val="20"/>
        </w:rPr>
        <w:t xml:space="preserve"> is one of the most pressing threats facing the world today.</w:t>
      </w:r>
      <w:r w:rsidR="00590DD8">
        <w:rPr>
          <w:rStyle w:val="FootnoteReference"/>
          <w:rFonts w:asciiTheme="minorHAnsi" w:eastAsia="Times New Roman" w:hAnsiTheme="minorHAnsi"/>
          <w:sz w:val="20"/>
          <w:szCs w:val="20"/>
        </w:rPr>
        <w:footnoteReference w:id="2"/>
      </w:r>
    </w:p>
    <w:p w:rsidR="0040036A" w:rsidRPr="00F142BE" w:rsidRDefault="0056403B" w:rsidP="00590DD8">
      <w:pPr>
        <w:spacing w:before="120" w:after="0"/>
        <w:rPr>
          <w:sz w:val="20"/>
          <w:szCs w:val="20"/>
        </w:rPr>
      </w:pPr>
      <w:r w:rsidRPr="00F142BE">
        <w:rPr>
          <w:sz w:val="20"/>
          <w:szCs w:val="20"/>
        </w:rPr>
        <w:t xml:space="preserve">The road to eliminating </w:t>
      </w:r>
      <w:r w:rsidR="0040036A" w:rsidRPr="00F142BE">
        <w:rPr>
          <w:sz w:val="20"/>
          <w:szCs w:val="20"/>
        </w:rPr>
        <w:t>HAIs and combat</w:t>
      </w:r>
      <w:r w:rsidRPr="00F142BE">
        <w:rPr>
          <w:sz w:val="20"/>
          <w:szCs w:val="20"/>
        </w:rPr>
        <w:t>ing</w:t>
      </w:r>
      <w:r w:rsidR="0040036A" w:rsidRPr="00F142BE">
        <w:rPr>
          <w:sz w:val="20"/>
          <w:szCs w:val="20"/>
        </w:rPr>
        <w:t xml:space="preserve"> antibiotic resistance</w:t>
      </w:r>
      <w:r w:rsidRPr="00F142BE">
        <w:rPr>
          <w:sz w:val="20"/>
          <w:szCs w:val="20"/>
        </w:rPr>
        <w:t xml:space="preserve"> is a road traveled by many</w:t>
      </w:r>
      <w:r w:rsidR="0040036A" w:rsidRPr="00F142BE">
        <w:rPr>
          <w:sz w:val="20"/>
          <w:szCs w:val="20"/>
        </w:rPr>
        <w:t xml:space="preserve">.  </w:t>
      </w:r>
      <w:r w:rsidRPr="00F142BE">
        <w:rPr>
          <w:sz w:val="20"/>
          <w:szCs w:val="20"/>
        </w:rPr>
        <w:t xml:space="preserve"> National leadership is issuing guidance in the form of action pla</w:t>
      </w:r>
      <w:r w:rsidR="007439B4" w:rsidRPr="00F142BE">
        <w:rPr>
          <w:sz w:val="20"/>
          <w:szCs w:val="20"/>
        </w:rPr>
        <w:t xml:space="preserve">ns.  Goals are established and annual reports monitor progress.  </w:t>
      </w:r>
    </w:p>
    <w:p w:rsidR="00047496" w:rsidRPr="00F142BE" w:rsidRDefault="00DB63A2" w:rsidP="0056403B">
      <w:pPr>
        <w:pStyle w:val="ListParagraph"/>
        <w:numPr>
          <w:ilvl w:val="0"/>
          <w:numId w:val="14"/>
        </w:numPr>
        <w:spacing w:after="0"/>
        <w:rPr>
          <w:sz w:val="20"/>
          <w:szCs w:val="20"/>
          <w:u w:val="single"/>
        </w:rPr>
      </w:pPr>
      <w:r w:rsidRPr="00F142BE">
        <w:rPr>
          <w:sz w:val="20"/>
          <w:szCs w:val="20"/>
          <w:u w:val="single"/>
        </w:rPr>
        <w:t>Action pl</w:t>
      </w:r>
      <w:r w:rsidR="0040036A" w:rsidRPr="00F142BE">
        <w:rPr>
          <w:sz w:val="20"/>
          <w:szCs w:val="20"/>
          <w:u w:val="single"/>
        </w:rPr>
        <w:t>ans:</w:t>
      </w:r>
      <w:r w:rsidRPr="00F142BE">
        <w:rPr>
          <w:sz w:val="20"/>
          <w:szCs w:val="20"/>
          <w:u w:val="single"/>
        </w:rPr>
        <w:t xml:space="preserve">  </w:t>
      </w:r>
    </w:p>
    <w:p w:rsidR="00F60C30" w:rsidRPr="00F142BE" w:rsidRDefault="00F60C30" w:rsidP="0056403B">
      <w:pPr>
        <w:pStyle w:val="ListParagraph"/>
        <w:numPr>
          <w:ilvl w:val="1"/>
          <w:numId w:val="14"/>
        </w:numPr>
        <w:spacing w:after="0"/>
        <w:rPr>
          <w:i/>
          <w:sz w:val="20"/>
          <w:szCs w:val="20"/>
        </w:rPr>
      </w:pPr>
      <w:r w:rsidRPr="00F142BE">
        <w:rPr>
          <w:i/>
          <w:sz w:val="20"/>
          <w:szCs w:val="20"/>
        </w:rPr>
        <w:t xml:space="preserve">National Action Plan to Prevent Health Care-Associated Infections:  Road </w:t>
      </w:r>
      <w:r w:rsidR="00BF1419" w:rsidRPr="00F142BE">
        <w:rPr>
          <w:i/>
          <w:sz w:val="20"/>
          <w:szCs w:val="20"/>
        </w:rPr>
        <w:t xml:space="preserve">Map to Elimination.  </w:t>
      </w:r>
      <w:r w:rsidR="00BF1419" w:rsidRPr="00F142BE">
        <w:rPr>
          <w:sz w:val="20"/>
          <w:szCs w:val="20"/>
        </w:rPr>
        <w:t>April 2013</w:t>
      </w:r>
      <w:r w:rsidR="00BF1419" w:rsidRPr="00F142BE">
        <w:rPr>
          <w:i/>
          <w:sz w:val="20"/>
          <w:szCs w:val="20"/>
        </w:rPr>
        <w:t xml:space="preserve">. </w:t>
      </w:r>
      <w:r w:rsidRPr="00F142BE">
        <w:rPr>
          <w:i/>
          <w:sz w:val="20"/>
          <w:szCs w:val="20"/>
        </w:rPr>
        <w:t xml:space="preserve"> </w:t>
      </w:r>
      <w:r w:rsidRPr="00F142BE">
        <w:rPr>
          <w:sz w:val="20"/>
          <w:szCs w:val="20"/>
        </w:rPr>
        <w:t>(U.S. Department of Health and Human Services)</w:t>
      </w:r>
    </w:p>
    <w:p w:rsidR="00F60C30" w:rsidRPr="00F142BE" w:rsidRDefault="00F60C30" w:rsidP="0056403B">
      <w:pPr>
        <w:pStyle w:val="ListParagraph"/>
        <w:numPr>
          <w:ilvl w:val="1"/>
          <w:numId w:val="14"/>
        </w:numPr>
        <w:spacing w:after="0"/>
        <w:rPr>
          <w:sz w:val="20"/>
          <w:szCs w:val="20"/>
        </w:rPr>
      </w:pPr>
      <w:r w:rsidRPr="00F142BE">
        <w:rPr>
          <w:i/>
          <w:sz w:val="20"/>
          <w:szCs w:val="20"/>
        </w:rPr>
        <w:t>National Action Plan for Combating Antibiotic Resistant Bacteria</w:t>
      </w:r>
      <w:r w:rsidR="00BF1419" w:rsidRPr="00F142BE">
        <w:rPr>
          <w:sz w:val="20"/>
          <w:szCs w:val="20"/>
        </w:rPr>
        <w:t xml:space="preserve">.  March 2015. </w:t>
      </w:r>
      <w:r w:rsidRPr="00F142BE">
        <w:rPr>
          <w:sz w:val="20"/>
          <w:szCs w:val="20"/>
        </w:rPr>
        <w:t xml:space="preserve"> (</w:t>
      </w:r>
      <w:r w:rsidR="00BF1419" w:rsidRPr="00F142BE">
        <w:rPr>
          <w:sz w:val="20"/>
          <w:szCs w:val="20"/>
        </w:rPr>
        <w:t xml:space="preserve">U.S. </w:t>
      </w:r>
      <w:r w:rsidR="00DB63A2" w:rsidRPr="00F142BE">
        <w:rPr>
          <w:sz w:val="20"/>
          <w:szCs w:val="20"/>
        </w:rPr>
        <w:t>Government</w:t>
      </w:r>
      <w:r w:rsidR="00BF1419" w:rsidRPr="00F142BE">
        <w:rPr>
          <w:sz w:val="20"/>
          <w:szCs w:val="20"/>
        </w:rPr>
        <w:t>)</w:t>
      </w:r>
    </w:p>
    <w:p w:rsidR="0040036A" w:rsidRPr="00F142BE" w:rsidRDefault="0040036A" w:rsidP="00437F44">
      <w:pPr>
        <w:pStyle w:val="ListParagraph"/>
        <w:numPr>
          <w:ilvl w:val="0"/>
          <w:numId w:val="14"/>
        </w:numPr>
        <w:spacing w:after="0"/>
        <w:rPr>
          <w:sz w:val="20"/>
          <w:szCs w:val="20"/>
          <w:u w:val="single"/>
        </w:rPr>
      </w:pPr>
      <w:r w:rsidRPr="00F142BE">
        <w:rPr>
          <w:sz w:val="20"/>
          <w:szCs w:val="20"/>
          <w:u w:val="single"/>
        </w:rPr>
        <w:t>Goals:</w:t>
      </w:r>
      <w:r w:rsidR="00437F44" w:rsidRPr="00F142BE">
        <w:rPr>
          <w:sz w:val="20"/>
          <w:szCs w:val="20"/>
        </w:rPr>
        <w:t xml:space="preserve">  </w:t>
      </w:r>
      <w:r w:rsidRPr="00F142BE">
        <w:rPr>
          <w:i/>
          <w:sz w:val="20"/>
          <w:szCs w:val="20"/>
        </w:rPr>
        <w:t xml:space="preserve">Healthy People 2020.  </w:t>
      </w:r>
      <w:r w:rsidRPr="00F142BE">
        <w:rPr>
          <w:sz w:val="20"/>
          <w:szCs w:val="20"/>
        </w:rPr>
        <w:t>December 2010.  (CDC)</w:t>
      </w:r>
    </w:p>
    <w:p w:rsidR="00BF1419" w:rsidRPr="00F142BE" w:rsidRDefault="00DB63A2" w:rsidP="00437F44">
      <w:pPr>
        <w:pStyle w:val="ListParagraph"/>
        <w:numPr>
          <w:ilvl w:val="0"/>
          <w:numId w:val="15"/>
        </w:numPr>
        <w:spacing w:after="0"/>
        <w:rPr>
          <w:sz w:val="20"/>
          <w:szCs w:val="20"/>
          <w:u w:val="single"/>
        </w:rPr>
      </w:pPr>
      <w:r w:rsidRPr="00F142BE">
        <w:rPr>
          <w:sz w:val="20"/>
          <w:szCs w:val="20"/>
          <w:u w:val="single"/>
        </w:rPr>
        <w:t>Progress</w:t>
      </w:r>
      <w:r w:rsidR="007439B4" w:rsidRPr="00F142BE">
        <w:rPr>
          <w:sz w:val="20"/>
          <w:szCs w:val="20"/>
          <w:u w:val="single"/>
        </w:rPr>
        <w:t xml:space="preserve"> R</w:t>
      </w:r>
      <w:r w:rsidR="0040036A" w:rsidRPr="00F142BE">
        <w:rPr>
          <w:sz w:val="20"/>
          <w:szCs w:val="20"/>
          <w:u w:val="single"/>
        </w:rPr>
        <w:t>eports:</w:t>
      </w:r>
      <w:r w:rsidR="00437F44" w:rsidRPr="00F142BE">
        <w:rPr>
          <w:sz w:val="20"/>
          <w:szCs w:val="20"/>
        </w:rPr>
        <w:t xml:space="preserve">  </w:t>
      </w:r>
      <w:r w:rsidR="0040036A" w:rsidRPr="00F142BE">
        <w:rPr>
          <w:i/>
          <w:sz w:val="20"/>
          <w:szCs w:val="20"/>
        </w:rPr>
        <w:t xml:space="preserve">HAI Progress Report. </w:t>
      </w:r>
      <w:r w:rsidR="0040036A" w:rsidRPr="00F142BE">
        <w:rPr>
          <w:sz w:val="20"/>
          <w:szCs w:val="20"/>
        </w:rPr>
        <w:t xml:space="preserve"> Annual Report</w:t>
      </w:r>
      <w:r w:rsidR="00145DF8" w:rsidRPr="00F142BE">
        <w:rPr>
          <w:sz w:val="20"/>
          <w:szCs w:val="20"/>
        </w:rPr>
        <w:t>.</w:t>
      </w:r>
      <w:r w:rsidR="0040036A" w:rsidRPr="00F142BE">
        <w:rPr>
          <w:sz w:val="20"/>
          <w:szCs w:val="20"/>
        </w:rPr>
        <w:t xml:space="preserve">  (CDC)</w:t>
      </w:r>
    </w:p>
    <w:p w:rsidR="00E80D20" w:rsidRPr="00F142BE" w:rsidRDefault="001C63D8" w:rsidP="00590DD8">
      <w:pPr>
        <w:spacing w:before="120" w:after="0"/>
        <w:rPr>
          <w:sz w:val="20"/>
          <w:szCs w:val="20"/>
        </w:rPr>
      </w:pPr>
      <w:r>
        <w:rPr>
          <w:sz w:val="20"/>
          <w:szCs w:val="20"/>
        </w:rPr>
        <w:t>The S</w:t>
      </w:r>
      <w:r w:rsidR="0085313E" w:rsidRPr="00F142BE">
        <w:rPr>
          <w:sz w:val="20"/>
          <w:szCs w:val="20"/>
        </w:rPr>
        <w:t>tate of Maine</w:t>
      </w:r>
      <w:r w:rsidR="007439B4" w:rsidRPr="00F142BE">
        <w:rPr>
          <w:sz w:val="20"/>
          <w:szCs w:val="20"/>
        </w:rPr>
        <w:t xml:space="preserve"> has a</w:t>
      </w:r>
      <w:r w:rsidR="000B0F08" w:rsidRPr="00F142BE">
        <w:rPr>
          <w:sz w:val="20"/>
          <w:szCs w:val="20"/>
        </w:rPr>
        <w:t>n important</w:t>
      </w:r>
      <w:r w:rsidR="007439B4" w:rsidRPr="00F142BE">
        <w:rPr>
          <w:sz w:val="20"/>
          <w:szCs w:val="20"/>
        </w:rPr>
        <w:t xml:space="preserve"> role</w:t>
      </w:r>
      <w:r w:rsidR="00E80D20" w:rsidRPr="00F142BE">
        <w:rPr>
          <w:sz w:val="20"/>
          <w:szCs w:val="20"/>
        </w:rPr>
        <w:t xml:space="preserve"> in this national movement</w:t>
      </w:r>
      <w:r w:rsidR="0085313E" w:rsidRPr="00F142BE">
        <w:rPr>
          <w:sz w:val="20"/>
          <w:szCs w:val="20"/>
        </w:rPr>
        <w:t xml:space="preserve">.  </w:t>
      </w:r>
      <w:r w:rsidR="00E80D20" w:rsidRPr="00F142BE">
        <w:rPr>
          <w:sz w:val="20"/>
          <w:szCs w:val="20"/>
        </w:rPr>
        <w:t>Numerous organizations across the state as well</w:t>
      </w:r>
      <w:r>
        <w:rPr>
          <w:sz w:val="20"/>
          <w:szCs w:val="20"/>
        </w:rPr>
        <w:t xml:space="preserve"> as healthcare facilities in</w:t>
      </w:r>
      <w:r w:rsidR="00E80D20" w:rsidRPr="00F142BE">
        <w:rPr>
          <w:sz w:val="20"/>
          <w:szCs w:val="20"/>
        </w:rPr>
        <w:t xml:space="preserve"> acute care, extended care, and ambulatory care settings are working hard to eliminate HAIs and combat antibiotic resistance</w:t>
      </w:r>
      <w:r w:rsidR="00094058" w:rsidRPr="00F142BE">
        <w:rPr>
          <w:sz w:val="20"/>
          <w:szCs w:val="20"/>
        </w:rPr>
        <w:t>.  Maine’s HAI Plan is o</w:t>
      </w:r>
      <w:r>
        <w:rPr>
          <w:sz w:val="20"/>
          <w:szCs w:val="20"/>
        </w:rPr>
        <w:t>ur S</w:t>
      </w:r>
      <w:r w:rsidR="00094058" w:rsidRPr="00F142BE">
        <w:rPr>
          <w:sz w:val="20"/>
          <w:szCs w:val="20"/>
        </w:rPr>
        <w:t>tate’s action plan for this work</w:t>
      </w:r>
      <w:r w:rsidR="000B0F08" w:rsidRPr="00F142BE">
        <w:rPr>
          <w:sz w:val="20"/>
          <w:szCs w:val="20"/>
        </w:rPr>
        <w:t xml:space="preserve"> over the next three years</w:t>
      </w:r>
      <w:r>
        <w:rPr>
          <w:sz w:val="20"/>
          <w:szCs w:val="20"/>
        </w:rPr>
        <w:t>.  This plan has three key areas of focus:</w:t>
      </w:r>
    </w:p>
    <w:p w:rsidR="00B93556" w:rsidRPr="00F142BE" w:rsidRDefault="001C63D8" w:rsidP="00B93556">
      <w:pPr>
        <w:pStyle w:val="ListParagraph"/>
        <w:numPr>
          <w:ilvl w:val="0"/>
          <w:numId w:val="15"/>
        </w:numPr>
        <w:spacing w:after="0"/>
        <w:rPr>
          <w:sz w:val="20"/>
          <w:szCs w:val="20"/>
        </w:rPr>
      </w:pPr>
      <w:r>
        <w:rPr>
          <w:sz w:val="20"/>
          <w:szCs w:val="20"/>
        </w:rPr>
        <w:t>Responding</w:t>
      </w:r>
      <w:r w:rsidR="00145DF8" w:rsidRPr="00F142BE">
        <w:rPr>
          <w:sz w:val="20"/>
          <w:szCs w:val="20"/>
        </w:rPr>
        <w:t xml:space="preserve"> to threats of infectious disease transmission</w:t>
      </w:r>
    </w:p>
    <w:p w:rsidR="00B93556" w:rsidRPr="00F142BE" w:rsidRDefault="001C63D8" w:rsidP="00B93556">
      <w:pPr>
        <w:pStyle w:val="ListParagraph"/>
        <w:numPr>
          <w:ilvl w:val="0"/>
          <w:numId w:val="15"/>
        </w:numPr>
        <w:spacing w:after="0"/>
        <w:rPr>
          <w:sz w:val="20"/>
          <w:szCs w:val="20"/>
        </w:rPr>
      </w:pPr>
      <w:r>
        <w:rPr>
          <w:sz w:val="20"/>
          <w:szCs w:val="20"/>
        </w:rPr>
        <w:t>Analyzing</w:t>
      </w:r>
      <w:r w:rsidR="00B93556" w:rsidRPr="00F142BE">
        <w:rPr>
          <w:sz w:val="20"/>
          <w:szCs w:val="20"/>
        </w:rPr>
        <w:t xml:space="preserve"> data to </w:t>
      </w:r>
      <w:r>
        <w:rPr>
          <w:sz w:val="20"/>
          <w:szCs w:val="20"/>
        </w:rPr>
        <w:t>target prevention activities</w:t>
      </w:r>
    </w:p>
    <w:p w:rsidR="00B93556" w:rsidRPr="00F142BE" w:rsidRDefault="001C63D8" w:rsidP="00B93556">
      <w:pPr>
        <w:pStyle w:val="ListParagraph"/>
        <w:numPr>
          <w:ilvl w:val="0"/>
          <w:numId w:val="15"/>
        </w:numPr>
        <w:spacing w:after="0"/>
        <w:rPr>
          <w:sz w:val="20"/>
          <w:szCs w:val="20"/>
        </w:rPr>
      </w:pPr>
      <w:r>
        <w:rPr>
          <w:sz w:val="20"/>
          <w:szCs w:val="20"/>
        </w:rPr>
        <w:t>Preventing</w:t>
      </w:r>
      <w:r w:rsidR="00B93556" w:rsidRPr="00F142BE">
        <w:rPr>
          <w:sz w:val="20"/>
          <w:szCs w:val="20"/>
        </w:rPr>
        <w:t xml:space="preserve"> </w:t>
      </w:r>
      <w:r w:rsidR="002E1FF0" w:rsidRPr="00F142BE">
        <w:rPr>
          <w:sz w:val="20"/>
          <w:szCs w:val="20"/>
        </w:rPr>
        <w:t>future HAIs and antibiotic resistance through education and training, promoting best practices through group collaborative programs</w:t>
      </w:r>
      <w:r w:rsidR="00752EB6" w:rsidRPr="00F142BE">
        <w:rPr>
          <w:sz w:val="20"/>
          <w:szCs w:val="20"/>
        </w:rPr>
        <w:t xml:space="preserve"> and expanding a</w:t>
      </w:r>
      <w:r>
        <w:rPr>
          <w:sz w:val="20"/>
          <w:szCs w:val="20"/>
        </w:rPr>
        <w:t>ntimicrobial stewardship</w:t>
      </w:r>
      <w:r w:rsidR="00752EB6" w:rsidRPr="00F142BE">
        <w:rPr>
          <w:sz w:val="20"/>
          <w:szCs w:val="20"/>
        </w:rPr>
        <w:t>.</w:t>
      </w:r>
    </w:p>
    <w:p w:rsidR="006D7647" w:rsidRPr="00F142BE" w:rsidRDefault="00E92482" w:rsidP="00590DD8">
      <w:pPr>
        <w:spacing w:before="120" w:after="0"/>
        <w:rPr>
          <w:sz w:val="20"/>
          <w:szCs w:val="20"/>
        </w:rPr>
      </w:pPr>
      <w:r>
        <w:rPr>
          <w:sz w:val="20"/>
          <w:szCs w:val="20"/>
        </w:rPr>
        <w:t>The Maine CDC developed this</w:t>
      </w:r>
      <w:r w:rsidR="004327FC">
        <w:rPr>
          <w:sz w:val="20"/>
          <w:szCs w:val="20"/>
        </w:rPr>
        <w:t xml:space="preserve"> plan in consultation with the HAI Collaborating Partners advisory council, a group jointly convened by the Maine CDC and </w:t>
      </w:r>
      <w:r>
        <w:rPr>
          <w:sz w:val="20"/>
          <w:szCs w:val="20"/>
        </w:rPr>
        <w:t>Maine Quality Forum (MQF)</w:t>
      </w:r>
      <w:r w:rsidR="004327FC">
        <w:rPr>
          <w:sz w:val="20"/>
          <w:szCs w:val="20"/>
        </w:rPr>
        <w:t xml:space="preserve"> and composed of a broad range of stakeholders listed in Appendix A</w:t>
      </w:r>
      <w:r>
        <w:rPr>
          <w:sz w:val="20"/>
          <w:szCs w:val="20"/>
        </w:rPr>
        <w:t>.  The MQF will include an annual</w:t>
      </w:r>
      <w:r w:rsidR="00094058" w:rsidRPr="00F142BE">
        <w:rPr>
          <w:sz w:val="20"/>
          <w:szCs w:val="20"/>
        </w:rPr>
        <w:t xml:space="preserve"> summary of </w:t>
      </w:r>
      <w:r>
        <w:rPr>
          <w:sz w:val="20"/>
          <w:szCs w:val="20"/>
        </w:rPr>
        <w:t xml:space="preserve">the plan's </w:t>
      </w:r>
      <w:r w:rsidR="00094058" w:rsidRPr="00F142BE">
        <w:rPr>
          <w:sz w:val="20"/>
          <w:szCs w:val="20"/>
        </w:rPr>
        <w:t xml:space="preserve">activities and outcomes </w:t>
      </w:r>
      <w:r>
        <w:rPr>
          <w:sz w:val="20"/>
          <w:szCs w:val="20"/>
        </w:rPr>
        <w:t xml:space="preserve">in Maine's </w:t>
      </w:r>
      <w:r w:rsidR="00094058" w:rsidRPr="00F142BE">
        <w:rPr>
          <w:sz w:val="20"/>
          <w:szCs w:val="20"/>
        </w:rPr>
        <w:t>State HAI Report.</w:t>
      </w:r>
      <w:r w:rsidR="006D7647" w:rsidRPr="00F142BE">
        <w:rPr>
          <w:sz w:val="20"/>
          <w:szCs w:val="20"/>
        </w:rPr>
        <w:br w:type="page"/>
      </w:r>
    </w:p>
    <w:p w:rsidR="006D7647" w:rsidRPr="00590DD8" w:rsidRDefault="001C63D8" w:rsidP="006D7647">
      <w:pPr>
        <w:spacing w:after="0"/>
        <w:rPr>
          <w:b/>
          <w:sz w:val="28"/>
        </w:rPr>
      </w:pPr>
      <w:r w:rsidRPr="00590DD8">
        <w:rPr>
          <w:b/>
          <w:sz w:val="28"/>
        </w:rPr>
        <w:lastRenderedPageBreak/>
        <w:t>Acronyms</w:t>
      </w:r>
    </w:p>
    <w:p w:rsidR="006D7647" w:rsidRDefault="006D7647" w:rsidP="006D7647">
      <w:pPr>
        <w:spacing w:after="0"/>
      </w:pPr>
    </w:p>
    <w:p w:rsidR="00F142BE" w:rsidRDefault="00F142BE" w:rsidP="00590DD8">
      <w:pPr>
        <w:spacing w:before="80" w:after="0" w:line="240" w:lineRule="auto"/>
        <w:ind w:left="1440" w:hanging="1440"/>
      </w:pPr>
      <w:r>
        <w:t>AR</w:t>
      </w:r>
      <w:r>
        <w:tab/>
        <w:t>Antibiotic Resistance</w:t>
      </w:r>
    </w:p>
    <w:p w:rsidR="006D7647" w:rsidRDefault="006D7647" w:rsidP="00590DD8">
      <w:pPr>
        <w:spacing w:before="80" w:after="0" w:line="240" w:lineRule="auto"/>
        <w:ind w:left="1440" w:hanging="1440"/>
      </w:pPr>
      <w:r>
        <w:t>CAUTI</w:t>
      </w:r>
      <w:r w:rsidR="00590DD8">
        <w:tab/>
      </w:r>
      <w:r>
        <w:t>Catheter-Associated Urinary Tract Infection</w:t>
      </w:r>
    </w:p>
    <w:p w:rsidR="006D7647" w:rsidRDefault="006D7647" w:rsidP="00590DD8">
      <w:pPr>
        <w:spacing w:before="80" w:after="0" w:line="240" w:lineRule="auto"/>
        <w:ind w:left="1440" w:hanging="1440"/>
      </w:pPr>
      <w:r>
        <w:t>CDC</w:t>
      </w:r>
      <w:r w:rsidR="00590DD8">
        <w:tab/>
      </w:r>
      <w:r w:rsidR="003A5CAB">
        <w:t xml:space="preserve">federal </w:t>
      </w:r>
      <w:r>
        <w:t>Centers for Disease Control and Prevention</w:t>
      </w:r>
    </w:p>
    <w:p w:rsidR="006D7647" w:rsidRDefault="006D7647" w:rsidP="00590DD8">
      <w:pPr>
        <w:spacing w:before="80" w:after="0" w:line="240" w:lineRule="auto"/>
        <w:ind w:left="1440" w:hanging="1440"/>
      </w:pPr>
      <w:r>
        <w:t>CDI</w:t>
      </w:r>
      <w:r w:rsidR="00590DD8">
        <w:tab/>
      </w:r>
      <w:r w:rsidRPr="0052007B">
        <w:rPr>
          <w:i/>
        </w:rPr>
        <w:t>Clostridium difficile</w:t>
      </w:r>
      <w:r>
        <w:t xml:space="preserve"> Infection</w:t>
      </w:r>
    </w:p>
    <w:p w:rsidR="006D7647" w:rsidRPr="009B36C7" w:rsidRDefault="006D7647" w:rsidP="00590DD8">
      <w:pPr>
        <w:tabs>
          <w:tab w:val="left" w:pos="1440"/>
        </w:tabs>
        <w:spacing w:before="80" w:after="0" w:line="240" w:lineRule="auto"/>
        <w:ind w:left="1440" w:hanging="1440"/>
      </w:pPr>
      <w:r w:rsidRPr="009B36C7">
        <w:t>CEO</w:t>
      </w:r>
      <w:r w:rsidRPr="009B36C7">
        <w:tab/>
        <w:t>Chief Executive Officer</w:t>
      </w:r>
    </w:p>
    <w:p w:rsidR="006D7647" w:rsidRPr="009B36C7" w:rsidRDefault="006D7647" w:rsidP="00590DD8">
      <w:pPr>
        <w:spacing w:before="80" w:after="0" w:line="240" w:lineRule="auto"/>
        <w:ind w:left="1440" w:hanging="1440"/>
      </w:pPr>
      <w:r w:rsidRPr="009B36C7">
        <w:t>CLABSI</w:t>
      </w:r>
      <w:r w:rsidR="00590DD8">
        <w:tab/>
      </w:r>
      <w:r w:rsidRPr="009B36C7">
        <w:t>Central Line-Associated Blood Stream Infection</w:t>
      </w:r>
    </w:p>
    <w:p w:rsidR="006D7647" w:rsidRPr="009B36C7" w:rsidRDefault="006D7647" w:rsidP="00590DD8">
      <w:pPr>
        <w:spacing w:before="80" w:after="0" w:line="240" w:lineRule="auto"/>
        <w:ind w:left="1440" w:hanging="1440"/>
      </w:pPr>
      <w:r w:rsidRPr="009B36C7">
        <w:t>CRE</w:t>
      </w:r>
      <w:r w:rsidR="00590DD8">
        <w:tab/>
      </w:r>
      <w:r w:rsidRPr="009B36C7">
        <w:t>Carbapenem-Resistant Enterobacteriaceae</w:t>
      </w:r>
    </w:p>
    <w:p w:rsidR="006D7647" w:rsidRPr="009B36C7" w:rsidRDefault="006D7647" w:rsidP="00590DD8">
      <w:pPr>
        <w:spacing w:before="80" w:after="0" w:line="240" w:lineRule="auto"/>
        <w:ind w:left="1440" w:hanging="1440"/>
      </w:pPr>
      <w:r w:rsidRPr="009B36C7">
        <w:t>DART</w:t>
      </w:r>
      <w:r w:rsidR="00590DD8">
        <w:tab/>
      </w:r>
      <w:r w:rsidRPr="009B36C7">
        <w:rPr>
          <w:rFonts w:cs="Times New Roman"/>
        </w:rPr>
        <w:t>Data Analysis by Region for Trends Program</w:t>
      </w:r>
    </w:p>
    <w:p w:rsidR="006D7647" w:rsidRPr="009B36C7" w:rsidRDefault="006D7647" w:rsidP="00590DD8">
      <w:pPr>
        <w:spacing w:before="80" w:after="0" w:line="240" w:lineRule="auto"/>
        <w:ind w:left="1440" w:hanging="1440"/>
      </w:pPr>
      <w:r w:rsidRPr="009B36C7">
        <w:t>DHHS</w:t>
      </w:r>
      <w:r w:rsidR="00590DD8">
        <w:tab/>
      </w:r>
      <w:r w:rsidRPr="009B36C7">
        <w:t>Department of Health and Human Services</w:t>
      </w:r>
    </w:p>
    <w:p w:rsidR="006D7647" w:rsidRPr="009B36C7" w:rsidRDefault="006D7647" w:rsidP="00590DD8">
      <w:pPr>
        <w:spacing w:before="80" w:after="0" w:line="240" w:lineRule="auto"/>
        <w:ind w:left="1440" w:hanging="1440"/>
      </w:pPr>
      <w:r w:rsidRPr="009B36C7">
        <w:t>DNA</w:t>
      </w:r>
      <w:r w:rsidR="00590DD8">
        <w:tab/>
      </w:r>
      <w:r w:rsidRPr="009B36C7">
        <w:t>Deoxyribonucleic acid</w:t>
      </w:r>
    </w:p>
    <w:p w:rsidR="006D7647" w:rsidRPr="009B36C7" w:rsidRDefault="006D7647" w:rsidP="00590DD8">
      <w:pPr>
        <w:spacing w:before="80" w:after="0" w:line="240" w:lineRule="auto"/>
        <w:ind w:left="1440" w:hanging="1440"/>
      </w:pPr>
      <w:r w:rsidRPr="009B36C7">
        <w:t>HAI</w:t>
      </w:r>
      <w:r w:rsidR="00590DD8">
        <w:tab/>
      </w:r>
      <w:r w:rsidRPr="009B36C7">
        <w:t>Healthcare Associated Infection</w:t>
      </w:r>
    </w:p>
    <w:p w:rsidR="00124C42" w:rsidRPr="009B36C7" w:rsidRDefault="00124C42" w:rsidP="00590DD8">
      <w:pPr>
        <w:spacing w:before="80" w:after="0" w:line="240" w:lineRule="auto"/>
        <w:ind w:left="1440" w:hanging="1440"/>
      </w:pPr>
      <w:r w:rsidRPr="009B36C7">
        <w:t>HETL</w:t>
      </w:r>
      <w:r w:rsidR="00590DD8">
        <w:tab/>
      </w:r>
      <w:r w:rsidRPr="009B36C7">
        <w:t>Health and Environmental Testing Laboratory</w:t>
      </w:r>
    </w:p>
    <w:p w:rsidR="006D7647" w:rsidRPr="009B36C7" w:rsidRDefault="006D7647" w:rsidP="00590DD8">
      <w:pPr>
        <w:spacing w:before="80" w:after="0" w:line="240" w:lineRule="auto"/>
        <w:ind w:left="1440" w:hanging="1440"/>
        <w:rPr>
          <w:rFonts w:cs="Times New Roman"/>
        </w:rPr>
      </w:pPr>
      <w:r w:rsidRPr="009B36C7">
        <w:t>ICAP</w:t>
      </w:r>
      <w:r w:rsidR="00590DD8">
        <w:tab/>
      </w:r>
      <w:r w:rsidRPr="009B36C7">
        <w:rPr>
          <w:rFonts w:cs="Times New Roman"/>
        </w:rPr>
        <w:t>Infection Control Assessment and Promotion Program</w:t>
      </w:r>
    </w:p>
    <w:p w:rsidR="006D7647" w:rsidRPr="009B36C7" w:rsidRDefault="006D7647" w:rsidP="00590DD8">
      <w:pPr>
        <w:spacing w:before="80" w:after="0" w:line="240" w:lineRule="auto"/>
        <w:ind w:left="1440" w:hanging="1440"/>
      </w:pPr>
      <w:r w:rsidRPr="009B36C7">
        <w:rPr>
          <w:rFonts w:cs="Times New Roman"/>
        </w:rPr>
        <w:t>Maine CDC</w:t>
      </w:r>
      <w:r w:rsidRPr="009B36C7">
        <w:rPr>
          <w:rFonts w:cs="Times New Roman"/>
        </w:rPr>
        <w:tab/>
        <w:t>Maine Center for Disease Control &amp; Prevention</w:t>
      </w:r>
      <w:r w:rsidRPr="009B36C7">
        <w:tab/>
      </w:r>
    </w:p>
    <w:p w:rsidR="006D7647" w:rsidRPr="009B36C7" w:rsidRDefault="006D7647" w:rsidP="00590DD8">
      <w:pPr>
        <w:spacing w:before="80" w:after="0" w:line="240" w:lineRule="auto"/>
        <w:ind w:left="1440" w:hanging="1440"/>
      </w:pPr>
      <w:r w:rsidRPr="009B36C7">
        <w:t>MDRO</w:t>
      </w:r>
      <w:r w:rsidR="00590DD8">
        <w:tab/>
      </w:r>
      <w:r w:rsidRPr="009B36C7">
        <w:t>Multidrug-Resistant Organism</w:t>
      </w:r>
    </w:p>
    <w:p w:rsidR="006D7647" w:rsidRPr="009B36C7" w:rsidRDefault="006D7647" w:rsidP="00590DD8">
      <w:pPr>
        <w:spacing w:before="80" w:after="0" w:line="240" w:lineRule="auto"/>
        <w:ind w:left="1440" w:hanging="1440"/>
      </w:pPr>
      <w:r w:rsidRPr="009B36C7">
        <w:t>MHA</w:t>
      </w:r>
      <w:r w:rsidR="00590DD8">
        <w:tab/>
      </w:r>
      <w:r w:rsidRPr="009B36C7">
        <w:t>Maine Hospital Association</w:t>
      </w:r>
    </w:p>
    <w:p w:rsidR="006D7647" w:rsidRPr="009B36C7" w:rsidRDefault="006D7647" w:rsidP="00590DD8">
      <w:pPr>
        <w:spacing w:before="80" w:after="0" w:line="240" w:lineRule="auto"/>
        <w:ind w:left="1440" w:hanging="1440"/>
      </w:pPr>
      <w:r w:rsidRPr="009B36C7">
        <w:t>MHDO</w:t>
      </w:r>
      <w:r w:rsidR="00590DD8">
        <w:tab/>
      </w:r>
      <w:r w:rsidRPr="009B36C7">
        <w:t>Maine Health Data Organization</w:t>
      </w:r>
    </w:p>
    <w:p w:rsidR="006D7647" w:rsidRPr="009B36C7" w:rsidRDefault="006D7647" w:rsidP="00590DD8">
      <w:pPr>
        <w:spacing w:before="80" w:after="0" w:line="240" w:lineRule="auto"/>
        <w:ind w:left="1440" w:hanging="1440"/>
      </w:pPr>
      <w:r w:rsidRPr="009B36C7">
        <w:t>MICIS</w:t>
      </w:r>
      <w:r w:rsidR="00590DD8">
        <w:tab/>
      </w:r>
      <w:r w:rsidRPr="009B36C7">
        <w:t>Maine Independent Clinical Information Service</w:t>
      </w:r>
    </w:p>
    <w:p w:rsidR="006D7647" w:rsidRPr="009B36C7" w:rsidRDefault="006D7647" w:rsidP="00590DD8">
      <w:pPr>
        <w:spacing w:before="80" w:after="0" w:line="240" w:lineRule="auto"/>
        <w:ind w:left="1440" w:hanging="1440"/>
      </w:pPr>
      <w:r w:rsidRPr="009B36C7">
        <w:t>MQF</w:t>
      </w:r>
      <w:r w:rsidR="00590DD8">
        <w:tab/>
      </w:r>
      <w:r w:rsidRPr="009B36C7">
        <w:t>Maine Quality Forum</w:t>
      </w:r>
    </w:p>
    <w:p w:rsidR="006D7647" w:rsidRDefault="006D7647" w:rsidP="00590DD8">
      <w:pPr>
        <w:spacing w:before="80" w:after="0" w:line="240" w:lineRule="auto"/>
        <w:ind w:left="1440" w:hanging="1440"/>
      </w:pPr>
      <w:r>
        <w:t>MRSA</w:t>
      </w:r>
      <w:r w:rsidR="00590DD8">
        <w:tab/>
      </w:r>
      <w:r>
        <w:t xml:space="preserve">Methicillin-Resistant </w:t>
      </w:r>
      <w:r w:rsidRPr="0052007B">
        <w:rPr>
          <w:i/>
        </w:rPr>
        <w:t>Staphylococcus aureus</w:t>
      </w:r>
    </w:p>
    <w:p w:rsidR="006D7647" w:rsidRDefault="006D7647" w:rsidP="00590DD8">
      <w:pPr>
        <w:spacing w:before="80" w:after="0" w:line="240" w:lineRule="auto"/>
        <w:ind w:left="1440" w:hanging="1440"/>
      </w:pPr>
      <w:r>
        <w:t>NHSN</w:t>
      </w:r>
      <w:r w:rsidR="00590DD8">
        <w:tab/>
      </w:r>
      <w:r w:rsidRPr="00F35268">
        <w:t>National Health</w:t>
      </w:r>
      <w:r>
        <w:t>care</w:t>
      </w:r>
      <w:r w:rsidRPr="00F35268">
        <w:t xml:space="preserve"> Safety Network</w:t>
      </w:r>
    </w:p>
    <w:p w:rsidR="006D7647" w:rsidRDefault="006D7647" w:rsidP="00590DD8">
      <w:pPr>
        <w:spacing w:before="80" w:after="0" w:line="240" w:lineRule="auto"/>
        <w:ind w:left="1440" w:hanging="1440"/>
      </w:pPr>
      <w:r>
        <w:t>PTC-APIC</w:t>
      </w:r>
      <w:r>
        <w:tab/>
        <w:t>Pine Tree Chapter – Association for Professionals in Infection Control and Epidemiology</w:t>
      </w:r>
    </w:p>
    <w:p w:rsidR="006D7647" w:rsidRDefault="006D7647" w:rsidP="00590DD8">
      <w:pPr>
        <w:spacing w:before="80" w:after="0" w:line="240" w:lineRule="auto"/>
        <w:ind w:left="1440" w:hanging="1440"/>
      </w:pPr>
      <w:r>
        <w:t>QIN-QIO</w:t>
      </w:r>
      <w:r>
        <w:tab/>
        <w:t>Quality Innovation Network – Quality Improvement Organization</w:t>
      </w:r>
    </w:p>
    <w:p w:rsidR="006D7647" w:rsidRDefault="006D7647" w:rsidP="00590DD8">
      <w:pPr>
        <w:spacing w:before="80" w:after="0" w:line="240" w:lineRule="auto"/>
        <w:ind w:left="1440" w:hanging="1440"/>
      </w:pPr>
      <w:r>
        <w:t>VAE</w:t>
      </w:r>
      <w:r w:rsidR="00590DD8">
        <w:tab/>
      </w:r>
      <w:r>
        <w:t>Ventilator-Associated Event</w:t>
      </w:r>
    </w:p>
    <w:p w:rsidR="006D7647" w:rsidRDefault="006D7647" w:rsidP="00590DD8">
      <w:pPr>
        <w:spacing w:before="80" w:after="0" w:line="240" w:lineRule="auto"/>
        <w:ind w:left="1440" w:hanging="1440"/>
      </w:pPr>
      <w:r>
        <w:t>VISA</w:t>
      </w:r>
      <w:r w:rsidR="00590DD8">
        <w:tab/>
      </w:r>
      <w:r>
        <w:t xml:space="preserve">Vancomycin-Intermediate resistant </w:t>
      </w:r>
      <w:r w:rsidRPr="00F35268">
        <w:rPr>
          <w:i/>
        </w:rPr>
        <w:t>Staphylococcus aureus</w:t>
      </w:r>
    </w:p>
    <w:p w:rsidR="006D7647" w:rsidRDefault="006D7647" w:rsidP="00590DD8">
      <w:pPr>
        <w:spacing w:before="80" w:after="0" w:line="240" w:lineRule="auto"/>
        <w:ind w:left="1440" w:hanging="1440"/>
      </w:pPr>
      <w:r>
        <w:t>VRE</w:t>
      </w:r>
      <w:r w:rsidR="00590DD8">
        <w:tab/>
      </w:r>
      <w:r>
        <w:t>Vancomycin-Resistant Enterococcus</w:t>
      </w:r>
    </w:p>
    <w:p w:rsidR="006D7647" w:rsidRDefault="006D7647">
      <w:pPr>
        <w:rPr>
          <w:sz w:val="24"/>
          <w:szCs w:val="24"/>
        </w:rPr>
      </w:pPr>
      <w:r>
        <w:rPr>
          <w:sz w:val="24"/>
          <w:szCs w:val="24"/>
        </w:rPr>
        <w:br w:type="page"/>
      </w:r>
    </w:p>
    <w:p w:rsidR="00725D2F" w:rsidRDefault="0079211A">
      <w:pPr>
        <w:rPr>
          <w:b/>
          <w:u w:val="single"/>
        </w:rPr>
      </w:pPr>
      <w:r w:rsidRPr="006A3F9C">
        <w:rPr>
          <w:rFonts w:eastAsiaTheme="minorEastAsia"/>
          <w:noProof/>
        </w:rPr>
        <w:lastRenderedPageBreak/>
        <mc:AlternateContent>
          <mc:Choice Requires="wps">
            <w:drawing>
              <wp:anchor distT="0" distB="0" distL="114300" distR="114300" simplePos="0" relativeHeight="251683328" behindDoc="1" locked="0" layoutInCell="1" allowOverlap="1" wp14:anchorId="2E542980" wp14:editId="6DC8CFF7">
                <wp:simplePos x="0" y="0"/>
                <wp:positionH relativeFrom="column">
                  <wp:posOffset>-352425</wp:posOffset>
                </wp:positionH>
                <wp:positionV relativeFrom="paragraph">
                  <wp:posOffset>0</wp:posOffset>
                </wp:positionV>
                <wp:extent cx="6667500" cy="1390650"/>
                <wp:effectExtent l="38100" t="38100" r="114300" b="114300"/>
                <wp:wrapTight wrapText="bothSides">
                  <wp:wrapPolygon edited="0">
                    <wp:start x="0" y="-592"/>
                    <wp:lineTo x="-123" y="-296"/>
                    <wp:lineTo x="-123" y="22192"/>
                    <wp:lineTo x="0" y="23079"/>
                    <wp:lineTo x="21785" y="23079"/>
                    <wp:lineTo x="21909" y="18937"/>
                    <wp:lineTo x="21909" y="3847"/>
                    <wp:lineTo x="21785" y="0"/>
                    <wp:lineTo x="21723" y="-592"/>
                    <wp:lineTo x="0" y="-592"/>
                  </wp:wrapPolygon>
                </wp:wrapTight>
                <wp:docPr id="1" name="Rectangle 1"/>
                <wp:cNvGraphicFramePr/>
                <a:graphic xmlns:a="http://schemas.openxmlformats.org/drawingml/2006/main">
                  <a:graphicData uri="http://schemas.microsoft.com/office/word/2010/wordprocessingShape">
                    <wps:wsp>
                      <wps:cNvSpPr/>
                      <wps:spPr>
                        <a:xfrm>
                          <a:off x="0" y="0"/>
                          <a:ext cx="6667500" cy="1390650"/>
                        </a:xfrm>
                        <a:prstGeom prst="rect">
                          <a:avLst/>
                        </a:prstGeom>
                        <a:solidFill>
                          <a:sysClr val="window" lastClr="FFFFFF"/>
                        </a:solidFill>
                        <a:ln w="19050" cap="flat" cmpd="sng" algn="ctr">
                          <a:solidFill>
                            <a:schemeClr val="bg1">
                              <a:lumMod val="75000"/>
                            </a:schemeClr>
                          </a:solidFill>
                          <a:prstDash val="solid"/>
                        </a:ln>
                        <a:effectLst>
                          <a:outerShdw blurRad="50800" dist="38100" dir="2700000" algn="tl" rotWithShape="0">
                            <a:schemeClr val="bg1">
                              <a:lumMod val="50000"/>
                              <a:alpha val="40000"/>
                            </a:schemeClr>
                          </a:outerShdw>
                        </a:effectLst>
                      </wps:spPr>
                      <wps:txbx>
                        <w:txbxContent>
                          <w:p w:rsidR="006A3F9C" w:rsidRPr="00FB2016" w:rsidRDefault="006A3F9C" w:rsidP="0079211A">
                            <w:pPr>
                              <w:shd w:val="clear" w:color="auto" w:fill="FFFFFF" w:themeFill="background1"/>
                              <w:spacing w:before="200" w:after="0"/>
                              <w:jc w:val="center"/>
                              <w:rPr>
                                <w:b/>
                                <w:sz w:val="40"/>
                                <w:szCs w:val="28"/>
                              </w:rPr>
                            </w:pPr>
                            <w:r w:rsidRPr="00FB2016">
                              <w:rPr>
                                <w:b/>
                                <w:sz w:val="40"/>
                                <w:szCs w:val="28"/>
                              </w:rPr>
                              <w:t>GOAL</w:t>
                            </w:r>
                          </w:p>
                          <w:p w:rsidR="0079211A" w:rsidRDefault="006A3F9C" w:rsidP="006A3F9C">
                            <w:pPr>
                              <w:shd w:val="clear" w:color="auto" w:fill="FFFFFF" w:themeFill="background1"/>
                              <w:spacing w:after="0"/>
                              <w:jc w:val="center"/>
                            </w:pPr>
                            <w:r>
                              <w:t>Maine wi</w:t>
                            </w:r>
                            <w:r w:rsidR="001C63D8">
                              <w:t>ll work to eliminate healthcare-</w:t>
                            </w:r>
                            <w:r>
                              <w:t xml:space="preserve">associated infections and combat antibiotic resistance by </w:t>
                            </w:r>
                            <w:r w:rsidR="0079211A">
                              <w:br/>
                            </w:r>
                            <w:r>
                              <w:t>collaborating with stakeholders across the healthcare continuum and the public to focus on three key actions:</w:t>
                            </w:r>
                          </w:p>
                          <w:p w:rsidR="006A3F9C" w:rsidRPr="0079211A" w:rsidRDefault="006A3F9C" w:rsidP="0079211A">
                            <w:pPr>
                              <w:shd w:val="clear" w:color="auto" w:fill="FFFFFF" w:themeFill="background1"/>
                              <w:spacing w:before="120" w:after="0"/>
                              <w:jc w:val="center"/>
                              <w:rPr>
                                <w:sz w:val="28"/>
                              </w:rPr>
                            </w:pPr>
                            <w:r w:rsidRPr="0079211A">
                              <w:rPr>
                                <w:sz w:val="28"/>
                              </w:rPr>
                              <w:t>Respond, Analyze, and Prevent.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42980" id="Rectangle 1" o:spid="_x0000_s1027" style="position:absolute;margin-left:-27.75pt;margin-top:0;width:525pt;height:109.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" fillcolor="window" strokecolor="#bfbfbf [2412]" strokeweight="1.5pt">
                <v:shadow on="t" color="#7f7f7f [1612]" opacity="26214f" origin="-.5,-.5" offset=".74836mm,.74836mm"/>
                <v:textbox>
                  <w:txbxContent>
                    <w:p w:rsidR="006A3F9C" w:rsidRPr="00FB2016" w:rsidRDefault="006A3F9C" w:rsidP="0079211A">
                      <w:pPr>
                        <w:shd w:val="clear" w:color="auto" w:fill="FFFFFF" w:themeFill="background1"/>
                        <w:spacing w:before="200" w:after="0"/>
                        <w:jc w:val="center"/>
                        <w:rPr>
                          <w:b/>
                          <w:sz w:val="40"/>
                          <w:szCs w:val="28"/>
                        </w:rPr>
                      </w:pPr>
                      <w:r w:rsidRPr="00FB2016">
                        <w:rPr>
                          <w:b/>
                          <w:sz w:val="40"/>
                          <w:szCs w:val="28"/>
                        </w:rPr>
                        <w:t>GOAL</w:t>
                      </w:r>
                    </w:p>
                    <w:p w:rsidR="0079211A" w:rsidRDefault="006A3F9C" w:rsidP="006A3F9C">
                      <w:pPr>
                        <w:shd w:val="clear" w:color="auto" w:fill="FFFFFF" w:themeFill="background1"/>
                        <w:spacing w:after="0"/>
                        <w:jc w:val="center"/>
                      </w:pPr>
                      <w:r>
                        <w:t>Maine wi</w:t>
                      </w:r>
                      <w:r w:rsidR="001C63D8">
                        <w:t>ll work to eliminate healthcare-</w:t>
                      </w:r>
                      <w:r>
                        <w:t xml:space="preserve">associated infections and combat antibiotic resistance by </w:t>
                      </w:r>
                      <w:r w:rsidR="0079211A">
                        <w:br/>
                      </w:r>
                      <w:r>
                        <w:t>collaborating with stakeholders across the healthcare continuum and the public to focus on three key actions:</w:t>
                      </w:r>
                    </w:p>
                    <w:p w:rsidR="006A3F9C" w:rsidRPr="0079211A" w:rsidRDefault="006A3F9C" w:rsidP="0079211A">
                      <w:pPr>
                        <w:shd w:val="clear" w:color="auto" w:fill="FFFFFF" w:themeFill="background1"/>
                        <w:spacing w:before="120" w:after="0"/>
                        <w:jc w:val="center"/>
                        <w:rPr>
                          <w:sz w:val="28"/>
                        </w:rPr>
                      </w:pPr>
                      <w:r w:rsidRPr="0079211A">
                        <w:rPr>
                          <w:sz w:val="28"/>
                        </w:rPr>
                        <w:t>Respond, Analyze, and Prevent.</w:t>
                      </w:r>
                    </w:p>
                  </w:txbxContent>
                </v:textbox>
                <w10:wrap type="tight"/>
              </v:rect>
            </w:pict>
          </mc:Fallback>
        </mc:AlternateContent>
      </w:r>
      <w:r>
        <w:rPr>
          <w:noProof/>
        </w:rPr>
        <mc:AlternateContent>
          <mc:Choice Requires="wps">
            <w:drawing>
              <wp:anchor distT="0" distB="0" distL="114300" distR="114300" simplePos="0" relativeHeight="251680256" behindDoc="0" locked="0" layoutInCell="1" allowOverlap="1" wp14:anchorId="4084D419" wp14:editId="42C99C9F">
                <wp:simplePos x="0" y="0"/>
                <wp:positionH relativeFrom="column">
                  <wp:posOffset>2766695</wp:posOffset>
                </wp:positionH>
                <wp:positionV relativeFrom="paragraph">
                  <wp:posOffset>2606675</wp:posOffset>
                </wp:positionV>
                <wp:extent cx="3467100" cy="3209290"/>
                <wp:effectExtent l="38100" t="38100" r="114300" b="105410"/>
                <wp:wrapNone/>
                <wp:docPr id="6" name="Oval 6"/>
                <wp:cNvGraphicFramePr/>
                <a:graphic xmlns:a="http://schemas.openxmlformats.org/drawingml/2006/main">
                  <a:graphicData uri="http://schemas.microsoft.com/office/word/2010/wordprocessingShape">
                    <wps:wsp>
                      <wps:cNvSpPr/>
                      <wps:spPr>
                        <a:xfrm>
                          <a:off x="0" y="0"/>
                          <a:ext cx="3467100" cy="3209290"/>
                        </a:xfrm>
                        <a:prstGeom prst="ellipse">
                          <a:avLst/>
                        </a:prstGeom>
                        <a:noFill/>
                        <a:ln w="19050" cap="flat" cmpd="sng" algn="ctr">
                          <a:solidFill>
                            <a:schemeClr val="bg1">
                              <a:lumMod val="75000"/>
                            </a:schemeClr>
                          </a:solidFill>
                          <a:prstDash val="solid"/>
                        </a:ln>
                        <a:effectLst>
                          <a:outerShdw blurRad="50800" dist="38100" dir="2700000" algn="tl" rotWithShape="0">
                            <a:schemeClr val="bg1">
                              <a:lumMod val="50000"/>
                              <a:alpha val="40000"/>
                            </a:schemeClr>
                          </a:outerShdw>
                        </a:effectLst>
                      </wps:spPr>
                      <wps:txbx>
                        <w:txbxContent>
                          <w:p w:rsidR="00A81FA1" w:rsidRPr="00FB2016" w:rsidRDefault="000E2397" w:rsidP="00FB2016">
                            <w:pPr>
                              <w:spacing w:before="120"/>
                              <w:jc w:val="center"/>
                              <w:rPr>
                                <w:b/>
                                <w:color w:val="000000" w:themeColor="text1"/>
                                <w:sz w:val="36"/>
                                <w:szCs w:val="28"/>
                              </w:rPr>
                            </w:pPr>
                            <w:r w:rsidRPr="00FB2016">
                              <w:rPr>
                                <w:b/>
                                <w:color w:val="000000" w:themeColor="text1"/>
                                <w:sz w:val="36"/>
                                <w:szCs w:val="28"/>
                              </w:rPr>
                              <w:t>PREVENT</w:t>
                            </w:r>
                          </w:p>
                          <w:p w:rsidR="00A44279" w:rsidRDefault="00B72578" w:rsidP="00721AD4">
                            <w:pPr>
                              <w:jc w:val="center"/>
                              <w:rPr>
                                <w:color w:val="000000" w:themeColor="text1"/>
                              </w:rPr>
                            </w:pPr>
                            <w:r>
                              <w:rPr>
                                <w:color w:val="000000" w:themeColor="text1"/>
                              </w:rPr>
                              <w:t xml:space="preserve">Provide education, </w:t>
                            </w:r>
                            <w:r w:rsidR="00590DD8">
                              <w:rPr>
                                <w:color w:val="000000" w:themeColor="text1"/>
                              </w:rPr>
                              <w:br/>
                            </w:r>
                            <w:r w:rsidR="00721AD4">
                              <w:rPr>
                                <w:color w:val="000000" w:themeColor="text1"/>
                              </w:rPr>
                              <w:t>training</w:t>
                            </w:r>
                            <w:r w:rsidR="001C63D8">
                              <w:rPr>
                                <w:color w:val="000000" w:themeColor="text1"/>
                              </w:rPr>
                              <w:t xml:space="preserve"> and consultation</w:t>
                            </w:r>
                          </w:p>
                          <w:p w:rsidR="00721AD4" w:rsidRDefault="00721AD4" w:rsidP="00721AD4">
                            <w:pPr>
                              <w:jc w:val="center"/>
                              <w:rPr>
                                <w:color w:val="000000" w:themeColor="text1"/>
                              </w:rPr>
                            </w:pPr>
                            <w:r>
                              <w:rPr>
                                <w:color w:val="000000" w:themeColor="text1"/>
                              </w:rPr>
                              <w:t xml:space="preserve">Engage in infection </w:t>
                            </w:r>
                            <w:r w:rsidR="00590DD8">
                              <w:rPr>
                                <w:color w:val="000000" w:themeColor="text1"/>
                              </w:rPr>
                              <w:br/>
                            </w:r>
                            <w:r>
                              <w:rPr>
                                <w:color w:val="000000" w:themeColor="text1"/>
                              </w:rPr>
                              <w:t>prevention activities</w:t>
                            </w:r>
                          </w:p>
                          <w:p w:rsidR="00505611" w:rsidRDefault="000E2397" w:rsidP="00A44279">
                            <w:pPr>
                              <w:jc w:val="center"/>
                              <w:rPr>
                                <w:color w:val="000000" w:themeColor="text1"/>
                              </w:rPr>
                            </w:pPr>
                            <w:r>
                              <w:rPr>
                                <w:color w:val="000000" w:themeColor="text1"/>
                              </w:rPr>
                              <w:t>Expand</w:t>
                            </w:r>
                            <w:r w:rsidR="00721AD4">
                              <w:rPr>
                                <w:color w:val="000000" w:themeColor="text1"/>
                              </w:rPr>
                              <w:t xml:space="preserve"> a</w:t>
                            </w:r>
                            <w:r w:rsidR="001C63D8">
                              <w:rPr>
                                <w:color w:val="000000" w:themeColor="text1"/>
                              </w:rPr>
                              <w:t>ntimicrobial stewardship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84D419" id="Oval 6" o:spid="_x0000_s1028" style="position:absolute;margin-left:217.85pt;margin-top:205.25pt;width:273pt;height:252.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" filled="f" strokecolor="#bfbfbf [2412]" strokeweight="1.5pt">
                <v:shadow on="t" color="#7f7f7f [1612]" opacity="26214f" origin="-.5,-.5" offset=".74836mm,.74836mm"/>
                <v:textbox>
                  <w:txbxContent>
                    <w:p w:rsidR="00A81FA1" w:rsidRPr="00FB2016" w:rsidRDefault="000E2397" w:rsidP="00FB2016">
                      <w:pPr>
                        <w:spacing w:before="120"/>
                        <w:jc w:val="center"/>
                        <w:rPr>
                          <w:b/>
                          <w:color w:val="000000" w:themeColor="text1"/>
                          <w:sz w:val="36"/>
                          <w:szCs w:val="28"/>
                        </w:rPr>
                      </w:pPr>
                      <w:r w:rsidRPr="00FB2016">
                        <w:rPr>
                          <w:b/>
                          <w:color w:val="000000" w:themeColor="text1"/>
                          <w:sz w:val="36"/>
                          <w:szCs w:val="28"/>
                        </w:rPr>
                        <w:t>PREVENT</w:t>
                      </w:r>
                    </w:p>
                    <w:p w:rsidR="00A44279" w:rsidRDefault="00B72578" w:rsidP="00721AD4">
                      <w:pPr>
                        <w:jc w:val="center"/>
                        <w:rPr>
                          <w:color w:val="000000" w:themeColor="text1"/>
                        </w:rPr>
                      </w:pPr>
                      <w:r>
                        <w:rPr>
                          <w:color w:val="000000" w:themeColor="text1"/>
                        </w:rPr>
                        <w:t xml:space="preserve">Provide education, </w:t>
                      </w:r>
                      <w:r w:rsidR="00590DD8">
                        <w:rPr>
                          <w:color w:val="000000" w:themeColor="text1"/>
                        </w:rPr>
                        <w:br/>
                      </w:r>
                      <w:r w:rsidR="00721AD4">
                        <w:rPr>
                          <w:color w:val="000000" w:themeColor="text1"/>
                        </w:rPr>
                        <w:t>training</w:t>
                      </w:r>
                      <w:r w:rsidR="001C63D8">
                        <w:rPr>
                          <w:color w:val="000000" w:themeColor="text1"/>
                        </w:rPr>
                        <w:t xml:space="preserve"> and consultation</w:t>
                      </w:r>
                    </w:p>
                    <w:p w:rsidR="00721AD4" w:rsidRDefault="00721AD4" w:rsidP="00721AD4">
                      <w:pPr>
                        <w:jc w:val="center"/>
                        <w:rPr>
                          <w:color w:val="000000" w:themeColor="text1"/>
                        </w:rPr>
                      </w:pPr>
                      <w:r>
                        <w:rPr>
                          <w:color w:val="000000" w:themeColor="text1"/>
                        </w:rPr>
                        <w:t xml:space="preserve">Engage in infection </w:t>
                      </w:r>
                      <w:r w:rsidR="00590DD8">
                        <w:rPr>
                          <w:color w:val="000000" w:themeColor="text1"/>
                        </w:rPr>
                        <w:br/>
                      </w:r>
                      <w:r>
                        <w:rPr>
                          <w:color w:val="000000" w:themeColor="text1"/>
                        </w:rPr>
                        <w:t>prevention activities</w:t>
                      </w:r>
                    </w:p>
                    <w:p w:rsidR="00505611" w:rsidRDefault="000E2397" w:rsidP="00A44279">
                      <w:pPr>
                        <w:jc w:val="center"/>
                        <w:rPr>
                          <w:color w:val="000000" w:themeColor="text1"/>
                        </w:rPr>
                      </w:pPr>
                      <w:r>
                        <w:rPr>
                          <w:color w:val="000000" w:themeColor="text1"/>
                        </w:rPr>
                        <w:t>Expand</w:t>
                      </w:r>
                      <w:r w:rsidR="00721AD4">
                        <w:rPr>
                          <w:color w:val="000000" w:themeColor="text1"/>
                        </w:rPr>
                        <w:t xml:space="preserve"> a</w:t>
                      </w:r>
                      <w:r w:rsidR="001C63D8">
                        <w:rPr>
                          <w:color w:val="000000" w:themeColor="text1"/>
                        </w:rPr>
                        <w:t>ntimicrobial stewardship</w:t>
                      </w:r>
                    </w:p>
                  </w:txbxContent>
                </v:textbox>
              </v:oval>
            </w:pict>
          </mc:Fallback>
        </mc:AlternateContent>
      </w:r>
      <w:r>
        <w:rPr>
          <w:noProof/>
        </w:rPr>
        <mc:AlternateContent>
          <mc:Choice Requires="wps">
            <w:drawing>
              <wp:anchor distT="0" distB="0" distL="114300" distR="114300" simplePos="0" relativeHeight="251658752" behindDoc="0" locked="0" layoutInCell="1" allowOverlap="1" wp14:anchorId="4B8A5BEC" wp14:editId="15F5569C">
                <wp:simplePos x="0" y="0"/>
                <wp:positionH relativeFrom="column">
                  <wp:posOffset>-200025</wp:posOffset>
                </wp:positionH>
                <wp:positionV relativeFrom="paragraph">
                  <wp:posOffset>2606675</wp:posOffset>
                </wp:positionV>
                <wp:extent cx="3383280" cy="3209290"/>
                <wp:effectExtent l="38100" t="38100" r="121920" b="105410"/>
                <wp:wrapNone/>
                <wp:docPr id="4" name="Oval 4"/>
                <wp:cNvGraphicFramePr/>
                <a:graphic xmlns:a="http://schemas.openxmlformats.org/drawingml/2006/main">
                  <a:graphicData uri="http://schemas.microsoft.com/office/word/2010/wordprocessingShape">
                    <wps:wsp>
                      <wps:cNvSpPr/>
                      <wps:spPr>
                        <a:xfrm>
                          <a:off x="0" y="0"/>
                          <a:ext cx="3383280" cy="3209290"/>
                        </a:xfrm>
                        <a:prstGeom prst="ellipse">
                          <a:avLst/>
                        </a:prstGeom>
                        <a:noFill/>
                        <a:ln w="19050" cap="flat" cmpd="sng" algn="ctr">
                          <a:solidFill>
                            <a:schemeClr val="bg1">
                              <a:lumMod val="75000"/>
                            </a:schemeClr>
                          </a:solidFill>
                          <a:prstDash val="solid"/>
                        </a:ln>
                        <a:effectLst>
                          <a:outerShdw blurRad="50800" dist="38100" dir="2700000" algn="tl" rotWithShape="0">
                            <a:schemeClr val="bg1">
                              <a:lumMod val="50000"/>
                              <a:alpha val="40000"/>
                            </a:schemeClr>
                          </a:outerShdw>
                        </a:effectLst>
                      </wps:spPr>
                      <wps:txbx>
                        <w:txbxContent>
                          <w:p w:rsidR="00A44279" w:rsidRPr="00FB2016" w:rsidRDefault="000E2397" w:rsidP="00FB2016">
                            <w:pPr>
                              <w:spacing w:before="120"/>
                              <w:jc w:val="center"/>
                              <w:rPr>
                                <w:b/>
                                <w:color w:val="000000" w:themeColor="text1"/>
                                <w:sz w:val="36"/>
                                <w:szCs w:val="28"/>
                              </w:rPr>
                            </w:pPr>
                            <w:r w:rsidRPr="00FB2016">
                              <w:rPr>
                                <w:b/>
                                <w:color w:val="000000" w:themeColor="text1"/>
                                <w:sz w:val="36"/>
                                <w:szCs w:val="28"/>
                              </w:rPr>
                              <w:t>ANALYZE</w:t>
                            </w:r>
                          </w:p>
                          <w:p w:rsidR="00505611" w:rsidRDefault="00721AD4" w:rsidP="00721AD4">
                            <w:pPr>
                              <w:jc w:val="center"/>
                              <w:rPr>
                                <w:color w:val="000000" w:themeColor="text1"/>
                              </w:rPr>
                            </w:pPr>
                            <w:r>
                              <w:rPr>
                                <w:color w:val="000000" w:themeColor="text1"/>
                              </w:rPr>
                              <w:t xml:space="preserve">Prioritize HAI data for </w:t>
                            </w:r>
                            <w:r w:rsidR="00590DD8">
                              <w:rPr>
                                <w:color w:val="000000" w:themeColor="text1"/>
                              </w:rPr>
                              <w:br/>
                            </w:r>
                            <w:r>
                              <w:rPr>
                                <w:color w:val="000000" w:themeColor="text1"/>
                              </w:rPr>
                              <w:t>statewide surveillance</w:t>
                            </w:r>
                          </w:p>
                          <w:p w:rsidR="00B72578" w:rsidRDefault="00B72578" w:rsidP="00721AD4">
                            <w:pPr>
                              <w:jc w:val="center"/>
                              <w:rPr>
                                <w:color w:val="000000" w:themeColor="text1"/>
                              </w:rPr>
                            </w:pPr>
                            <w:r>
                              <w:rPr>
                                <w:color w:val="000000" w:themeColor="text1"/>
                              </w:rPr>
                              <w:t>Ensure quality of data</w:t>
                            </w:r>
                          </w:p>
                          <w:p w:rsidR="00721AD4" w:rsidRDefault="00721AD4" w:rsidP="00721AD4">
                            <w:pPr>
                              <w:jc w:val="center"/>
                              <w:rPr>
                                <w:color w:val="000000" w:themeColor="text1"/>
                              </w:rPr>
                            </w:pPr>
                            <w:r>
                              <w:rPr>
                                <w:color w:val="000000" w:themeColor="text1"/>
                              </w:rPr>
                              <w:t xml:space="preserve">Ensure surveillance data is </w:t>
                            </w:r>
                            <w:r w:rsidR="00590DD8">
                              <w:rPr>
                                <w:color w:val="000000" w:themeColor="text1"/>
                              </w:rPr>
                              <w:br/>
                            </w:r>
                            <w:r>
                              <w:rPr>
                                <w:color w:val="000000" w:themeColor="text1"/>
                              </w:rPr>
                              <w:t>available to key stakeholders</w:t>
                            </w:r>
                          </w:p>
                          <w:p w:rsidR="00A44279" w:rsidRPr="00A44279" w:rsidRDefault="00CF4220" w:rsidP="00A44279">
                            <w:pPr>
                              <w:jc w:val="center"/>
                              <w:rPr>
                                <w:color w:val="000000" w:themeColor="text1"/>
                              </w:rPr>
                            </w:pPr>
                            <w:r>
                              <w:rPr>
                                <w:color w:val="000000" w:themeColor="text1"/>
                              </w:rPr>
                              <w:t>I</w:t>
                            </w:r>
                            <w:r w:rsidR="00721AD4">
                              <w:rPr>
                                <w:color w:val="000000" w:themeColor="text1"/>
                              </w:rPr>
                              <w:t>ncreased data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8A5BEC" id="Oval 4" o:spid="_x0000_s1029" style="position:absolute;margin-left:-15.75pt;margin-top:205.25pt;width:266.4pt;height:25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" filled="f" strokecolor="#bfbfbf [2412]" strokeweight="1.5pt">
                <v:shadow on="t" color="#7f7f7f [1612]" opacity="26214f" origin="-.5,-.5" offset=".74836mm,.74836mm"/>
                <v:textbox>
                  <w:txbxContent>
                    <w:p w:rsidR="00A44279" w:rsidRPr="00FB2016" w:rsidRDefault="000E2397" w:rsidP="00FB2016">
                      <w:pPr>
                        <w:spacing w:before="120"/>
                        <w:jc w:val="center"/>
                        <w:rPr>
                          <w:b/>
                          <w:color w:val="000000" w:themeColor="text1"/>
                          <w:sz w:val="36"/>
                          <w:szCs w:val="28"/>
                        </w:rPr>
                      </w:pPr>
                      <w:r w:rsidRPr="00FB2016">
                        <w:rPr>
                          <w:b/>
                          <w:color w:val="000000" w:themeColor="text1"/>
                          <w:sz w:val="36"/>
                          <w:szCs w:val="28"/>
                        </w:rPr>
                        <w:t>ANALYZE</w:t>
                      </w:r>
                    </w:p>
                    <w:p w:rsidR="00505611" w:rsidRDefault="00721AD4" w:rsidP="00721AD4">
                      <w:pPr>
                        <w:jc w:val="center"/>
                        <w:rPr>
                          <w:color w:val="000000" w:themeColor="text1"/>
                        </w:rPr>
                      </w:pPr>
                      <w:r>
                        <w:rPr>
                          <w:color w:val="000000" w:themeColor="text1"/>
                        </w:rPr>
                        <w:t xml:space="preserve">Prioritize HAI data for </w:t>
                      </w:r>
                      <w:r w:rsidR="00590DD8">
                        <w:rPr>
                          <w:color w:val="000000" w:themeColor="text1"/>
                        </w:rPr>
                        <w:br/>
                      </w:r>
                      <w:r>
                        <w:rPr>
                          <w:color w:val="000000" w:themeColor="text1"/>
                        </w:rPr>
                        <w:t>statewide surveillance</w:t>
                      </w:r>
                    </w:p>
                    <w:p w:rsidR="00B72578" w:rsidRDefault="00B72578" w:rsidP="00721AD4">
                      <w:pPr>
                        <w:jc w:val="center"/>
                        <w:rPr>
                          <w:color w:val="000000" w:themeColor="text1"/>
                        </w:rPr>
                      </w:pPr>
                      <w:r>
                        <w:rPr>
                          <w:color w:val="000000" w:themeColor="text1"/>
                        </w:rPr>
                        <w:t>Ensure quality of data</w:t>
                      </w:r>
                    </w:p>
                    <w:p w:rsidR="00721AD4" w:rsidRDefault="00721AD4" w:rsidP="00721AD4">
                      <w:pPr>
                        <w:jc w:val="center"/>
                        <w:rPr>
                          <w:color w:val="000000" w:themeColor="text1"/>
                        </w:rPr>
                      </w:pPr>
                      <w:r>
                        <w:rPr>
                          <w:color w:val="000000" w:themeColor="text1"/>
                        </w:rPr>
                        <w:t xml:space="preserve">Ensure surveillance data is </w:t>
                      </w:r>
                      <w:r w:rsidR="00590DD8">
                        <w:rPr>
                          <w:color w:val="000000" w:themeColor="text1"/>
                        </w:rPr>
                        <w:br/>
                      </w:r>
                      <w:r>
                        <w:rPr>
                          <w:color w:val="000000" w:themeColor="text1"/>
                        </w:rPr>
                        <w:t>available to key stakeholders</w:t>
                      </w:r>
                    </w:p>
                    <w:p w:rsidR="00A44279" w:rsidRPr="00A44279" w:rsidRDefault="00CF4220" w:rsidP="00A44279">
                      <w:pPr>
                        <w:jc w:val="center"/>
                        <w:rPr>
                          <w:color w:val="000000" w:themeColor="text1"/>
                        </w:rPr>
                      </w:pPr>
                      <w:r>
                        <w:rPr>
                          <w:color w:val="000000" w:themeColor="text1"/>
                        </w:rPr>
                        <w:t>I</w:t>
                      </w:r>
                      <w:r w:rsidR="00721AD4">
                        <w:rPr>
                          <w:color w:val="000000" w:themeColor="text1"/>
                        </w:rPr>
                        <w:t>ncreased data analysis</w:t>
                      </w:r>
                    </w:p>
                  </w:txbxContent>
                </v:textbox>
              </v:oval>
            </w:pict>
          </mc:Fallback>
        </mc:AlternateContent>
      </w:r>
      <w:r>
        <w:rPr>
          <w:noProof/>
        </w:rPr>
        <mc:AlternateContent>
          <mc:Choice Requires="wps">
            <w:drawing>
              <wp:anchor distT="0" distB="0" distL="114300" distR="114300" simplePos="0" relativeHeight="251635200" behindDoc="0" locked="0" layoutInCell="1" allowOverlap="1" wp14:anchorId="00086B67" wp14:editId="5E0D01E4">
                <wp:simplePos x="0" y="0"/>
                <wp:positionH relativeFrom="column">
                  <wp:posOffset>1240155</wp:posOffset>
                </wp:positionH>
                <wp:positionV relativeFrom="paragraph">
                  <wp:posOffset>288925</wp:posOffset>
                </wp:positionV>
                <wp:extent cx="3406140" cy="3162300"/>
                <wp:effectExtent l="38100" t="38100" r="118110" b="114300"/>
                <wp:wrapNone/>
                <wp:docPr id="3" name="Oval 3"/>
                <wp:cNvGraphicFramePr/>
                <a:graphic xmlns:a="http://schemas.openxmlformats.org/drawingml/2006/main">
                  <a:graphicData uri="http://schemas.microsoft.com/office/word/2010/wordprocessingShape">
                    <wps:wsp>
                      <wps:cNvSpPr/>
                      <wps:spPr>
                        <a:xfrm>
                          <a:off x="0" y="0"/>
                          <a:ext cx="3406140" cy="3162300"/>
                        </a:xfrm>
                        <a:prstGeom prst="ellipse">
                          <a:avLst/>
                        </a:prstGeom>
                        <a:noFill/>
                        <a:ln w="19050">
                          <a:solidFill>
                            <a:schemeClr val="bg1">
                              <a:lumMod val="75000"/>
                            </a:schemeClr>
                          </a:solidFill>
                        </a:ln>
                        <a:effectLst>
                          <a:outerShdw blurRad="50800" dist="38100" dir="2700000" algn="tl" rotWithShape="0">
                            <a:schemeClr val="bg1">
                              <a:lumMod val="50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C4291" w:rsidRPr="00FB2016" w:rsidRDefault="000E2397" w:rsidP="00FB2016">
                            <w:pPr>
                              <w:spacing w:before="120"/>
                              <w:jc w:val="center"/>
                              <w:rPr>
                                <w:b/>
                                <w:color w:val="000000" w:themeColor="text1"/>
                                <w:sz w:val="36"/>
                                <w:szCs w:val="28"/>
                              </w:rPr>
                            </w:pPr>
                            <w:r w:rsidRPr="00FB2016">
                              <w:rPr>
                                <w:b/>
                                <w:color w:val="000000" w:themeColor="text1"/>
                                <w:sz w:val="36"/>
                                <w:szCs w:val="28"/>
                              </w:rPr>
                              <w:t>RESPOND</w:t>
                            </w:r>
                          </w:p>
                          <w:p w:rsidR="00721AD4" w:rsidRPr="0079211A" w:rsidRDefault="00721AD4" w:rsidP="008C4291">
                            <w:pPr>
                              <w:jc w:val="center"/>
                              <w:rPr>
                                <w:color w:val="000000" w:themeColor="text1"/>
                                <w14:shadow w14:blurRad="50800" w14:dist="50800" w14:dir="5400000" w14:sx="0" w14:sy="0" w14:kx="0" w14:ky="0" w14:algn="ctr">
                                  <w14:schemeClr w14:val="bg1">
                                    <w14:lumMod w14:val="50000"/>
                                  </w14:schemeClr>
                                </w14:shadow>
                              </w:rPr>
                            </w:pPr>
                            <w:r w:rsidRPr="0079211A">
                              <w:rPr>
                                <w:color w:val="000000" w:themeColor="text1"/>
                                <w14:shadow w14:blurRad="50800" w14:dist="50800" w14:dir="5400000" w14:sx="0" w14:sy="0" w14:kx="0" w14:ky="0" w14:algn="ctr">
                                  <w14:schemeClr w14:val="bg1">
                                    <w14:lumMod w14:val="50000"/>
                                  </w14:schemeClr>
                                </w14:shadow>
                              </w:rPr>
                              <w:t xml:space="preserve">Detect, investigate, </w:t>
                            </w:r>
                            <w:r w:rsidR="002C7F49" w:rsidRPr="0079211A">
                              <w:rPr>
                                <w:color w:val="000000" w:themeColor="text1"/>
                                <w14:shadow w14:blurRad="50800" w14:dist="50800" w14:dir="5400000" w14:sx="0" w14:sy="0" w14:kx="0" w14:ky="0" w14:algn="ctr">
                                  <w14:schemeClr w14:val="bg1">
                                    <w14:lumMod w14:val="50000"/>
                                  </w14:schemeClr>
                                </w14:shadow>
                              </w:rPr>
                              <w:t xml:space="preserve">validate, </w:t>
                            </w:r>
                            <w:r w:rsidRPr="0079211A">
                              <w:rPr>
                                <w:color w:val="000000" w:themeColor="text1"/>
                                <w14:shadow w14:blurRad="50800" w14:dist="50800" w14:dir="5400000" w14:sx="0" w14:sy="0" w14:kx="0" w14:ky="0" w14:algn="ctr">
                                  <w14:schemeClr w14:val="bg1">
                                    <w14:lumMod w14:val="50000"/>
                                  </w14:schemeClr>
                                </w14:shadow>
                              </w:rPr>
                              <w:t>control and prevent HAI-related outbreaks</w:t>
                            </w:r>
                          </w:p>
                          <w:p w:rsidR="00721AD4" w:rsidRPr="0079211A" w:rsidRDefault="00721AD4" w:rsidP="008C4291">
                            <w:pPr>
                              <w:jc w:val="center"/>
                              <w:rPr>
                                <w:color w:val="000000" w:themeColor="text1"/>
                                <w14:shadow w14:blurRad="50800" w14:dist="50800" w14:dir="5400000" w14:sx="0" w14:sy="0" w14:kx="0" w14:ky="0" w14:algn="ctr">
                                  <w14:schemeClr w14:val="bg1">
                                    <w14:lumMod w14:val="50000"/>
                                  </w14:schemeClr>
                                </w14:shadow>
                              </w:rPr>
                            </w:pPr>
                            <w:r w:rsidRPr="0079211A">
                              <w:rPr>
                                <w:color w:val="000000" w:themeColor="text1"/>
                                <w14:shadow w14:blurRad="50800" w14:dist="50800" w14:dir="5400000" w14:sx="0" w14:sy="0" w14:kx="0" w14:ky="0" w14:algn="ctr">
                                  <w14:schemeClr w14:val="bg1">
                                    <w14:lumMod w14:val="50000"/>
                                  </w14:schemeClr>
                                </w14:shadow>
                              </w:rPr>
                              <w:t xml:space="preserve">Ensure preparedness for </w:t>
                            </w:r>
                            <w:r w:rsidR="00590DD8" w:rsidRPr="0079211A">
                              <w:rPr>
                                <w:color w:val="000000" w:themeColor="text1"/>
                                <w14:shadow w14:blurRad="50800" w14:dist="50800" w14:dir="5400000" w14:sx="0" w14:sy="0" w14:kx="0" w14:ky="0" w14:algn="ctr">
                                  <w14:schemeClr w14:val="bg1">
                                    <w14:lumMod w14:val="50000"/>
                                  </w14:schemeClr>
                                </w14:shadow>
                              </w:rPr>
                              <w:br/>
                            </w:r>
                            <w:r w:rsidRPr="0079211A">
                              <w:rPr>
                                <w:color w:val="000000" w:themeColor="text1"/>
                                <w14:shadow w14:blurRad="50800" w14:dist="50800" w14:dir="5400000" w14:sx="0" w14:sy="0" w14:kx="0" w14:ky="0" w14:algn="ctr">
                                  <w14:schemeClr w14:val="bg1">
                                    <w14:lumMod w14:val="50000"/>
                                  </w14:schemeClr>
                                </w14:shadow>
                              </w:rPr>
                              <w:t xml:space="preserve">emerging pathogens, especially </w:t>
                            </w:r>
                            <w:r w:rsidR="00590DD8" w:rsidRPr="0079211A">
                              <w:rPr>
                                <w:color w:val="000000" w:themeColor="text1"/>
                                <w14:shadow w14:blurRad="50800" w14:dist="50800" w14:dir="5400000" w14:sx="0" w14:sy="0" w14:kx="0" w14:ky="0" w14:algn="ctr">
                                  <w14:schemeClr w14:val="bg1">
                                    <w14:lumMod w14:val="50000"/>
                                  </w14:schemeClr>
                                </w14:shadow>
                              </w:rPr>
                              <w:br/>
                            </w:r>
                            <w:r w:rsidRPr="0079211A">
                              <w:rPr>
                                <w:color w:val="000000" w:themeColor="text1"/>
                                <w14:shadow w14:blurRad="50800" w14:dist="50800" w14:dir="5400000" w14:sx="0" w14:sy="0" w14:kx="0" w14:ky="0" w14:algn="ctr">
                                  <w14:schemeClr w14:val="bg1">
                                    <w14:lumMod w14:val="50000"/>
                                  </w14:schemeClr>
                                </w14:shadow>
                              </w:rPr>
                              <w:t>those needing enhanced precautions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086B67" id="Oval 3" o:spid="_x0000_s1030" style="position:absolute;margin-left:97.65pt;margin-top:22.75pt;width:268.2pt;height:24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" filled="f" strokecolor="#bfbfbf [2412]" strokeweight="1.5pt">
                <v:shadow on="t" color="#7f7f7f [1612]" opacity="26214f" origin="-.5,-.5" offset=".74836mm,.74836mm"/>
                <v:textbox>
                  <w:txbxContent>
                    <w:p w:rsidR="008C4291" w:rsidRPr="00FB2016" w:rsidRDefault="000E2397" w:rsidP="00FB2016">
                      <w:pPr>
                        <w:spacing w:before="120"/>
                        <w:jc w:val="center"/>
                        <w:rPr>
                          <w:b/>
                          <w:color w:val="000000" w:themeColor="text1"/>
                          <w:sz w:val="36"/>
                          <w:szCs w:val="28"/>
                        </w:rPr>
                      </w:pPr>
                      <w:r w:rsidRPr="00FB2016">
                        <w:rPr>
                          <w:b/>
                          <w:color w:val="000000" w:themeColor="text1"/>
                          <w:sz w:val="36"/>
                          <w:szCs w:val="28"/>
                        </w:rPr>
                        <w:t>RESPOND</w:t>
                      </w:r>
                    </w:p>
                    <w:p w:rsidR="00721AD4" w:rsidRPr="0079211A" w:rsidRDefault="00721AD4" w:rsidP="008C4291">
                      <w:pPr>
                        <w:jc w:val="center"/>
                        <w:rPr>
                          <w:color w:val="000000" w:themeColor="text1"/>
                          <w14:shadow w14:blurRad="50800" w14:dist="50800" w14:dir="5400000" w14:sx="0" w14:sy="0" w14:kx="0" w14:ky="0" w14:algn="ctr">
                            <w14:schemeClr w14:val="bg1">
                              <w14:lumMod w14:val="50000"/>
                            </w14:schemeClr>
                          </w14:shadow>
                        </w:rPr>
                      </w:pPr>
                      <w:r w:rsidRPr="0079211A">
                        <w:rPr>
                          <w:color w:val="000000" w:themeColor="text1"/>
                          <w14:shadow w14:blurRad="50800" w14:dist="50800" w14:dir="5400000" w14:sx="0" w14:sy="0" w14:kx="0" w14:ky="0" w14:algn="ctr">
                            <w14:schemeClr w14:val="bg1">
                              <w14:lumMod w14:val="50000"/>
                            </w14:schemeClr>
                          </w14:shadow>
                        </w:rPr>
                        <w:t xml:space="preserve">Detect, investigate, </w:t>
                      </w:r>
                      <w:r w:rsidR="002C7F49" w:rsidRPr="0079211A">
                        <w:rPr>
                          <w:color w:val="000000" w:themeColor="text1"/>
                          <w14:shadow w14:blurRad="50800" w14:dist="50800" w14:dir="5400000" w14:sx="0" w14:sy="0" w14:kx="0" w14:ky="0" w14:algn="ctr">
                            <w14:schemeClr w14:val="bg1">
                              <w14:lumMod w14:val="50000"/>
                            </w14:schemeClr>
                          </w14:shadow>
                        </w:rPr>
                        <w:t xml:space="preserve">validate, </w:t>
                      </w:r>
                      <w:r w:rsidRPr="0079211A">
                        <w:rPr>
                          <w:color w:val="000000" w:themeColor="text1"/>
                          <w14:shadow w14:blurRad="50800" w14:dist="50800" w14:dir="5400000" w14:sx="0" w14:sy="0" w14:kx="0" w14:ky="0" w14:algn="ctr">
                            <w14:schemeClr w14:val="bg1">
                              <w14:lumMod w14:val="50000"/>
                            </w14:schemeClr>
                          </w14:shadow>
                        </w:rPr>
                        <w:t>control and prevent HAI-related outbreaks</w:t>
                      </w:r>
                    </w:p>
                    <w:p w:rsidR="00721AD4" w:rsidRPr="0079211A" w:rsidRDefault="00721AD4" w:rsidP="008C4291">
                      <w:pPr>
                        <w:jc w:val="center"/>
                        <w:rPr>
                          <w:color w:val="000000" w:themeColor="text1"/>
                          <w14:shadow w14:blurRad="50800" w14:dist="50800" w14:dir="5400000" w14:sx="0" w14:sy="0" w14:kx="0" w14:ky="0" w14:algn="ctr">
                            <w14:schemeClr w14:val="bg1">
                              <w14:lumMod w14:val="50000"/>
                            </w14:schemeClr>
                          </w14:shadow>
                        </w:rPr>
                      </w:pPr>
                      <w:r w:rsidRPr="0079211A">
                        <w:rPr>
                          <w:color w:val="000000" w:themeColor="text1"/>
                          <w14:shadow w14:blurRad="50800" w14:dist="50800" w14:dir="5400000" w14:sx="0" w14:sy="0" w14:kx="0" w14:ky="0" w14:algn="ctr">
                            <w14:schemeClr w14:val="bg1">
                              <w14:lumMod w14:val="50000"/>
                            </w14:schemeClr>
                          </w14:shadow>
                        </w:rPr>
                        <w:t xml:space="preserve">Ensure preparedness for </w:t>
                      </w:r>
                      <w:r w:rsidR="00590DD8" w:rsidRPr="0079211A">
                        <w:rPr>
                          <w:color w:val="000000" w:themeColor="text1"/>
                          <w14:shadow w14:blurRad="50800" w14:dist="50800" w14:dir="5400000" w14:sx="0" w14:sy="0" w14:kx="0" w14:ky="0" w14:algn="ctr">
                            <w14:schemeClr w14:val="bg1">
                              <w14:lumMod w14:val="50000"/>
                            </w14:schemeClr>
                          </w14:shadow>
                        </w:rPr>
                        <w:br/>
                      </w:r>
                      <w:r w:rsidRPr="0079211A">
                        <w:rPr>
                          <w:color w:val="000000" w:themeColor="text1"/>
                          <w14:shadow w14:blurRad="50800" w14:dist="50800" w14:dir="5400000" w14:sx="0" w14:sy="0" w14:kx="0" w14:ky="0" w14:algn="ctr">
                            <w14:schemeClr w14:val="bg1">
                              <w14:lumMod w14:val="50000"/>
                            </w14:schemeClr>
                          </w14:shadow>
                        </w:rPr>
                        <w:t xml:space="preserve">emerging pathogens, especially </w:t>
                      </w:r>
                      <w:r w:rsidR="00590DD8" w:rsidRPr="0079211A">
                        <w:rPr>
                          <w:color w:val="000000" w:themeColor="text1"/>
                          <w14:shadow w14:blurRad="50800" w14:dist="50800" w14:dir="5400000" w14:sx="0" w14:sy="0" w14:kx="0" w14:ky="0" w14:algn="ctr">
                            <w14:schemeClr w14:val="bg1">
                              <w14:lumMod w14:val="50000"/>
                            </w14:schemeClr>
                          </w14:shadow>
                        </w:rPr>
                        <w:br/>
                      </w:r>
                      <w:r w:rsidRPr="0079211A">
                        <w:rPr>
                          <w:color w:val="000000" w:themeColor="text1"/>
                          <w14:shadow w14:blurRad="50800" w14:dist="50800" w14:dir="5400000" w14:sx="0" w14:sy="0" w14:kx="0" w14:ky="0" w14:algn="ctr">
                            <w14:schemeClr w14:val="bg1">
                              <w14:lumMod w14:val="50000"/>
                            </w14:schemeClr>
                          </w14:shadow>
                        </w:rPr>
                        <w:t>those needing enhanced precautions</w:t>
                      </w:r>
                    </w:p>
                  </w:txbxContent>
                </v:textbox>
              </v:oval>
            </w:pict>
          </mc:Fallback>
        </mc:AlternateContent>
      </w:r>
    </w:p>
    <w:p w:rsidR="006A3F9C" w:rsidRDefault="006A3F9C">
      <w:pPr>
        <w:rPr>
          <w:b/>
          <w:u w:val="single"/>
        </w:rPr>
      </w:pPr>
    </w:p>
    <w:p w:rsidR="000558E0" w:rsidRDefault="000558E0"/>
    <w:p w:rsidR="000558E0" w:rsidRPr="000558E0" w:rsidRDefault="000558E0" w:rsidP="000558E0"/>
    <w:p w:rsidR="000558E0" w:rsidRPr="000558E0" w:rsidRDefault="000558E0" w:rsidP="000558E0"/>
    <w:p w:rsidR="000558E0" w:rsidRPr="000558E0" w:rsidRDefault="000558E0" w:rsidP="000558E0"/>
    <w:p w:rsidR="000558E0" w:rsidRPr="000558E0" w:rsidRDefault="000558E0" w:rsidP="000558E0"/>
    <w:p w:rsidR="000558E0" w:rsidRPr="000558E0" w:rsidRDefault="000558E0" w:rsidP="000558E0"/>
    <w:p w:rsidR="000558E0" w:rsidRPr="000558E0" w:rsidRDefault="000558E0" w:rsidP="000558E0"/>
    <w:p w:rsidR="000558E0" w:rsidRDefault="000558E0" w:rsidP="000558E0"/>
    <w:p w:rsidR="008C4291" w:rsidRDefault="008C4291" w:rsidP="000558E0"/>
    <w:p w:rsidR="000558E0" w:rsidRDefault="000558E0" w:rsidP="000558E0"/>
    <w:p w:rsidR="0022247B" w:rsidRDefault="0022247B" w:rsidP="0022247B">
      <w:pPr>
        <w:jc w:val="center"/>
        <w:rPr>
          <w:color w:val="000000" w:themeColor="text1"/>
        </w:rPr>
      </w:pPr>
    </w:p>
    <w:p w:rsidR="000558E0" w:rsidRDefault="000558E0" w:rsidP="000558E0"/>
    <w:p w:rsidR="000558E0" w:rsidRDefault="000558E0" w:rsidP="000558E0"/>
    <w:p w:rsidR="000558E0" w:rsidRDefault="000558E0" w:rsidP="000558E0"/>
    <w:p w:rsidR="000558E0" w:rsidRDefault="000558E0" w:rsidP="000558E0"/>
    <w:p w:rsidR="0022247B" w:rsidRDefault="0022247B" w:rsidP="0022247B">
      <w:pPr>
        <w:jc w:val="center"/>
        <w:rPr>
          <w:color w:val="000000" w:themeColor="text1"/>
        </w:rPr>
      </w:pPr>
    </w:p>
    <w:p w:rsidR="00810F29" w:rsidRDefault="00810F29" w:rsidP="000558E0"/>
    <w:p w:rsidR="00CA761E" w:rsidRDefault="00CA761E" w:rsidP="00CA761E"/>
    <w:p w:rsidR="00CA761E" w:rsidRDefault="00CA761E" w:rsidP="00CA761E">
      <w:pPr>
        <w:sectPr w:rsidR="00CA761E" w:rsidSect="00861FA9">
          <w:headerReference w:type="even" r:id="rId10"/>
          <w:headerReference w:type="default" r:id="rId11"/>
          <w:footerReference w:type="even" r:id="rId12"/>
          <w:footerReference w:type="default" r:id="rId13"/>
          <w:headerReference w:type="first" r:id="rId14"/>
          <w:footerReference w:type="first" r:id="rId15"/>
          <w:pgSz w:w="12240" w:h="15840" w:code="1"/>
          <w:pgMar w:top="990" w:right="1440" w:bottom="1080" w:left="1440" w:header="432" w:footer="720" w:gutter="0"/>
          <w:cols w:space="720"/>
          <w:titlePg/>
          <w:docGrid w:linePitch="360"/>
        </w:sectPr>
      </w:pPr>
    </w:p>
    <w:tbl>
      <w:tblPr>
        <w:tblStyle w:val="TableGrid1"/>
        <w:tblpPr w:leftFromText="187" w:rightFromText="187" w:vertAnchor="text" w:horzAnchor="margin" w:tblpY="1"/>
        <w:tblOverlap w:val="never"/>
        <w:tblW w:w="1423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1958"/>
        <w:gridCol w:w="17"/>
        <w:gridCol w:w="2813"/>
        <w:gridCol w:w="90"/>
        <w:gridCol w:w="3330"/>
        <w:gridCol w:w="695"/>
        <w:gridCol w:w="2185"/>
        <w:gridCol w:w="450"/>
        <w:gridCol w:w="2056"/>
        <w:gridCol w:w="644"/>
      </w:tblGrid>
      <w:tr w:rsidR="00CA761E" w:rsidRPr="00003E7E" w:rsidTr="00CA761E">
        <w:tc>
          <w:tcPr>
            <w:tcW w:w="14238" w:type="dxa"/>
            <w:gridSpan w:val="10"/>
            <w:shd w:val="clear" w:color="auto" w:fill="B6DDE8" w:themeFill="accent5" w:themeFillTint="66"/>
          </w:tcPr>
          <w:p w:rsidR="00CA761E" w:rsidRPr="00003E7E" w:rsidRDefault="00CA761E" w:rsidP="00CA761E">
            <w:pPr>
              <w:jc w:val="center"/>
              <w:rPr>
                <w:rFonts w:ascii="Times New Roman" w:hAnsi="Times New Roman" w:cs="Times New Roman"/>
                <w:b/>
                <w:sz w:val="24"/>
              </w:rPr>
            </w:pPr>
            <w:r w:rsidRPr="00CA761E">
              <w:rPr>
                <w:rFonts w:ascii="Times New Roman" w:hAnsi="Times New Roman" w:cs="Times New Roman"/>
                <w:b/>
                <w:sz w:val="32"/>
              </w:rPr>
              <w:t>RESPOND</w:t>
            </w:r>
          </w:p>
        </w:tc>
      </w:tr>
      <w:tr w:rsidR="00CA761E" w:rsidRPr="00003E7E" w:rsidTr="00CA761E">
        <w:tc>
          <w:tcPr>
            <w:tcW w:w="1975" w:type="dxa"/>
            <w:gridSpan w:val="2"/>
            <w:shd w:val="clear" w:color="auto" w:fill="DAEEF3" w:themeFill="accent5" w:themeFillTint="33"/>
          </w:tcPr>
          <w:p w:rsidR="00CA761E" w:rsidRPr="00003E7E" w:rsidRDefault="00CA761E" w:rsidP="00CA761E">
            <w:pPr>
              <w:jc w:val="center"/>
              <w:rPr>
                <w:rFonts w:ascii="Times New Roman" w:hAnsi="Times New Roman" w:cs="Times New Roman"/>
                <w:b/>
                <w:sz w:val="24"/>
              </w:rPr>
            </w:pPr>
            <w:r w:rsidRPr="00003E7E">
              <w:rPr>
                <w:rFonts w:ascii="Times New Roman" w:hAnsi="Times New Roman" w:cs="Times New Roman"/>
                <w:b/>
                <w:sz w:val="24"/>
              </w:rPr>
              <w:t>Priorities</w:t>
            </w:r>
          </w:p>
        </w:tc>
        <w:tc>
          <w:tcPr>
            <w:tcW w:w="2813" w:type="dxa"/>
            <w:shd w:val="clear" w:color="auto" w:fill="DAEEF3" w:themeFill="accent5" w:themeFillTint="33"/>
          </w:tcPr>
          <w:p w:rsidR="00CA761E" w:rsidRPr="00003E7E" w:rsidRDefault="00CA761E" w:rsidP="00CA761E">
            <w:pPr>
              <w:jc w:val="center"/>
              <w:rPr>
                <w:rFonts w:ascii="Times New Roman" w:hAnsi="Times New Roman" w:cs="Times New Roman"/>
                <w:b/>
                <w:sz w:val="24"/>
              </w:rPr>
            </w:pPr>
            <w:r>
              <w:rPr>
                <w:rFonts w:ascii="Times New Roman" w:hAnsi="Times New Roman" w:cs="Times New Roman"/>
                <w:b/>
                <w:sz w:val="24"/>
              </w:rPr>
              <w:t>2015</w:t>
            </w:r>
          </w:p>
        </w:tc>
        <w:tc>
          <w:tcPr>
            <w:tcW w:w="4115" w:type="dxa"/>
            <w:gridSpan w:val="3"/>
            <w:shd w:val="clear" w:color="auto" w:fill="DAEEF3" w:themeFill="accent5" w:themeFillTint="33"/>
          </w:tcPr>
          <w:p w:rsidR="00CA761E" w:rsidRPr="00003E7E" w:rsidRDefault="00CA761E" w:rsidP="00CA761E">
            <w:pPr>
              <w:jc w:val="center"/>
              <w:rPr>
                <w:rFonts w:ascii="Times New Roman" w:hAnsi="Times New Roman" w:cs="Times New Roman"/>
                <w:b/>
                <w:sz w:val="24"/>
              </w:rPr>
            </w:pPr>
            <w:r>
              <w:rPr>
                <w:rFonts w:ascii="Times New Roman" w:hAnsi="Times New Roman" w:cs="Times New Roman"/>
                <w:b/>
                <w:sz w:val="24"/>
              </w:rPr>
              <w:t>2016</w:t>
            </w:r>
          </w:p>
        </w:tc>
        <w:tc>
          <w:tcPr>
            <w:tcW w:w="2635" w:type="dxa"/>
            <w:gridSpan w:val="2"/>
            <w:shd w:val="clear" w:color="auto" w:fill="DAEEF3" w:themeFill="accent5" w:themeFillTint="33"/>
          </w:tcPr>
          <w:p w:rsidR="00CA761E" w:rsidRPr="00003E7E" w:rsidRDefault="00CA761E" w:rsidP="00CA761E">
            <w:pPr>
              <w:jc w:val="center"/>
              <w:rPr>
                <w:rFonts w:ascii="Times New Roman" w:hAnsi="Times New Roman" w:cs="Times New Roman"/>
                <w:b/>
                <w:sz w:val="24"/>
              </w:rPr>
            </w:pPr>
            <w:r>
              <w:rPr>
                <w:rFonts w:ascii="Times New Roman" w:hAnsi="Times New Roman" w:cs="Times New Roman"/>
                <w:b/>
                <w:sz w:val="24"/>
              </w:rPr>
              <w:t>2017</w:t>
            </w:r>
          </w:p>
        </w:tc>
        <w:tc>
          <w:tcPr>
            <w:tcW w:w="2700" w:type="dxa"/>
            <w:gridSpan w:val="2"/>
            <w:shd w:val="clear" w:color="auto" w:fill="DAEEF3" w:themeFill="accent5" w:themeFillTint="33"/>
          </w:tcPr>
          <w:p w:rsidR="00CA761E" w:rsidRPr="00003E7E" w:rsidRDefault="00CA761E" w:rsidP="00CA761E">
            <w:pPr>
              <w:jc w:val="center"/>
              <w:rPr>
                <w:rFonts w:ascii="Times New Roman" w:hAnsi="Times New Roman" w:cs="Times New Roman"/>
                <w:b/>
                <w:sz w:val="24"/>
              </w:rPr>
            </w:pPr>
            <w:r>
              <w:rPr>
                <w:rFonts w:ascii="Times New Roman" w:hAnsi="Times New Roman" w:cs="Times New Roman"/>
                <w:b/>
                <w:sz w:val="24"/>
              </w:rPr>
              <w:t>2018</w:t>
            </w:r>
          </w:p>
        </w:tc>
      </w:tr>
      <w:tr w:rsidR="00CA761E" w:rsidRPr="00003E7E" w:rsidTr="00CA761E">
        <w:tc>
          <w:tcPr>
            <w:tcW w:w="1975" w:type="dxa"/>
            <w:gridSpan w:val="2"/>
            <w:vMerge w:val="restart"/>
            <w:vAlign w:val="center"/>
          </w:tcPr>
          <w:p w:rsidR="00CA761E" w:rsidRPr="00003E7E" w:rsidRDefault="00CA761E" w:rsidP="00CA761E">
            <w:pPr>
              <w:rPr>
                <w:rFonts w:ascii="Times New Roman" w:hAnsi="Times New Roman" w:cs="Times New Roman"/>
                <w:sz w:val="20"/>
                <w:szCs w:val="20"/>
              </w:rPr>
            </w:pPr>
            <w:r w:rsidRPr="00003E7E">
              <w:rPr>
                <w:rFonts w:ascii="Times New Roman" w:hAnsi="Times New Roman" w:cs="Times New Roman"/>
                <w:sz w:val="20"/>
                <w:szCs w:val="20"/>
              </w:rPr>
              <w:t xml:space="preserve">Detect, investigate, </w:t>
            </w:r>
            <w:r>
              <w:rPr>
                <w:rFonts w:ascii="Times New Roman" w:hAnsi="Times New Roman" w:cs="Times New Roman"/>
                <w:sz w:val="20"/>
                <w:szCs w:val="20"/>
              </w:rPr>
              <w:t xml:space="preserve">validate, </w:t>
            </w:r>
            <w:r w:rsidRPr="00003E7E">
              <w:rPr>
                <w:rFonts w:ascii="Times New Roman" w:hAnsi="Times New Roman" w:cs="Times New Roman"/>
                <w:sz w:val="20"/>
                <w:szCs w:val="20"/>
              </w:rPr>
              <w:t xml:space="preserve">control and prevent </w:t>
            </w:r>
          </w:p>
          <w:p w:rsidR="00CA761E" w:rsidRDefault="00CA761E" w:rsidP="00CA761E">
            <w:pPr>
              <w:rPr>
                <w:rFonts w:ascii="Times New Roman" w:hAnsi="Times New Roman" w:cs="Times New Roman"/>
                <w:sz w:val="20"/>
                <w:szCs w:val="20"/>
              </w:rPr>
            </w:pPr>
            <w:r w:rsidRPr="00003E7E">
              <w:rPr>
                <w:rFonts w:ascii="Times New Roman" w:hAnsi="Times New Roman" w:cs="Times New Roman"/>
                <w:sz w:val="20"/>
                <w:szCs w:val="20"/>
              </w:rPr>
              <w:t>HAI-related outbreaks</w:t>
            </w:r>
          </w:p>
          <w:p w:rsidR="00CA761E" w:rsidRDefault="00CA761E" w:rsidP="00CA761E">
            <w:pPr>
              <w:rPr>
                <w:rFonts w:ascii="Times New Roman" w:hAnsi="Times New Roman" w:cs="Times New Roman"/>
                <w:sz w:val="20"/>
                <w:szCs w:val="20"/>
              </w:rPr>
            </w:pPr>
          </w:p>
          <w:p w:rsidR="00CA761E" w:rsidRPr="00003E7E" w:rsidRDefault="00CA761E" w:rsidP="00CA761E">
            <w:pPr>
              <w:rPr>
                <w:rFonts w:ascii="Times New Roman" w:hAnsi="Times New Roman" w:cs="Times New Roman"/>
                <w:sz w:val="20"/>
                <w:szCs w:val="20"/>
              </w:rPr>
            </w:pPr>
          </w:p>
        </w:tc>
        <w:tc>
          <w:tcPr>
            <w:tcW w:w="2813" w:type="dxa"/>
            <w:tcMar>
              <w:left w:w="115" w:type="dxa"/>
              <w:bottom w:w="58" w:type="dxa"/>
              <w:right w:w="115" w:type="dxa"/>
            </w:tcMar>
          </w:tcPr>
          <w:p w:rsidR="00CA761E" w:rsidRPr="007025D2" w:rsidRDefault="00CA761E" w:rsidP="00CA761E">
            <w:pPr>
              <w:spacing w:before="120"/>
              <w:rPr>
                <w:rFonts w:ascii="Times New Roman" w:hAnsi="Times New Roman" w:cs="Times New Roman"/>
                <w:sz w:val="20"/>
                <w:szCs w:val="20"/>
              </w:rPr>
            </w:pPr>
            <w:r>
              <w:rPr>
                <w:rFonts w:ascii="Times New Roman" w:hAnsi="Times New Roman" w:cs="Times New Roman"/>
                <w:sz w:val="20"/>
                <w:szCs w:val="20"/>
              </w:rPr>
              <w:t>Define HAI outbreak for S</w:t>
            </w:r>
            <w:r w:rsidRPr="007025D2">
              <w:rPr>
                <w:rFonts w:ascii="Times New Roman" w:hAnsi="Times New Roman" w:cs="Times New Roman"/>
                <w:sz w:val="20"/>
                <w:szCs w:val="20"/>
              </w:rPr>
              <w:t>tate of Maine, based on federal CDC epidemiological definitions.</w:t>
            </w:r>
          </w:p>
          <w:p w:rsidR="00CA761E" w:rsidRPr="007025D2" w:rsidRDefault="00CA761E" w:rsidP="00CA761E">
            <w:pPr>
              <w:spacing w:before="120"/>
              <w:rPr>
                <w:rFonts w:ascii="Times New Roman" w:hAnsi="Times New Roman" w:cs="Times New Roman"/>
                <w:sz w:val="20"/>
                <w:szCs w:val="20"/>
              </w:rPr>
            </w:pPr>
            <w:r w:rsidRPr="004F2EA1">
              <w:rPr>
                <w:rFonts w:ascii="Times New Roman" w:hAnsi="Times New Roman" w:cs="Times New Roman"/>
                <w:sz w:val="20"/>
                <w:szCs w:val="20"/>
                <w:highlight w:val="cyan"/>
              </w:rPr>
              <w:t>Design and implement a system to track HAI outbreak response and outcomes, for outbreaks reported to public health.</w:t>
            </w:r>
          </w:p>
        </w:tc>
        <w:tc>
          <w:tcPr>
            <w:tcW w:w="4115" w:type="dxa"/>
            <w:gridSpan w:val="3"/>
            <w:tcMar>
              <w:left w:w="115" w:type="dxa"/>
              <w:bottom w:w="58" w:type="dxa"/>
              <w:right w:w="115" w:type="dxa"/>
            </w:tcMar>
          </w:tcPr>
          <w:p w:rsidR="00CA761E" w:rsidRPr="007025D2" w:rsidRDefault="00CA761E" w:rsidP="00CA761E">
            <w:pPr>
              <w:spacing w:before="120"/>
              <w:rPr>
                <w:rFonts w:ascii="Times New Roman" w:hAnsi="Times New Roman" w:cs="Times New Roman"/>
                <w:sz w:val="20"/>
                <w:szCs w:val="20"/>
              </w:rPr>
            </w:pPr>
            <w:r w:rsidRPr="00003598">
              <w:rPr>
                <w:rFonts w:ascii="Times New Roman" w:hAnsi="Times New Roman" w:cs="Times New Roman"/>
                <w:sz w:val="20"/>
                <w:szCs w:val="20"/>
                <w:highlight w:val="cyan"/>
              </w:rPr>
              <w:t>Assess capacities of healthcare facilities to detect, report and respond to potential outbreaks and emerging threats using standardized tool from federal CDC.</w:t>
            </w:r>
          </w:p>
          <w:p w:rsidR="00CA761E" w:rsidRPr="007025D2" w:rsidRDefault="00CA761E" w:rsidP="00CA761E">
            <w:pPr>
              <w:spacing w:before="120"/>
              <w:rPr>
                <w:rFonts w:ascii="Times New Roman" w:hAnsi="Times New Roman" w:cs="Times New Roman"/>
                <w:sz w:val="20"/>
                <w:szCs w:val="20"/>
              </w:rPr>
            </w:pPr>
            <w:r w:rsidRPr="004F2EA1">
              <w:rPr>
                <w:rFonts w:ascii="Times New Roman" w:hAnsi="Times New Roman" w:cs="Times New Roman"/>
                <w:sz w:val="20"/>
                <w:szCs w:val="20"/>
                <w:highlight w:val="cyan"/>
              </w:rPr>
              <w:t>Determine gaps in HAI outbreak reporting and response in all healthcare settings</w:t>
            </w:r>
          </w:p>
        </w:tc>
        <w:tc>
          <w:tcPr>
            <w:tcW w:w="2635" w:type="dxa"/>
            <w:gridSpan w:val="2"/>
            <w:tcMar>
              <w:left w:w="115" w:type="dxa"/>
              <w:bottom w:w="58" w:type="dxa"/>
              <w:right w:w="115" w:type="dxa"/>
            </w:tcMar>
          </w:tcPr>
          <w:p w:rsidR="00CA761E" w:rsidRPr="007025D2" w:rsidRDefault="00CA761E" w:rsidP="00CA761E">
            <w:pPr>
              <w:spacing w:before="120"/>
              <w:rPr>
                <w:rFonts w:ascii="Times New Roman" w:hAnsi="Times New Roman" w:cs="Times New Roman"/>
                <w:sz w:val="20"/>
                <w:szCs w:val="20"/>
              </w:rPr>
            </w:pPr>
            <w:r w:rsidRPr="007025D2">
              <w:rPr>
                <w:rFonts w:ascii="Times New Roman" w:hAnsi="Times New Roman" w:cs="Times New Roman"/>
                <w:sz w:val="20"/>
                <w:szCs w:val="20"/>
              </w:rPr>
              <w:t>Address gaps in outbreak investigation capacity by working with healthc</w:t>
            </w:r>
            <w:r>
              <w:rPr>
                <w:rFonts w:ascii="Times New Roman" w:hAnsi="Times New Roman" w:cs="Times New Roman"/>
                <w:sz w:val="20"/>
                <w:szCs w:val="20"/>
              </w:rPr>
              <w:t>are partners to develop a plan and infrastructure</w:t>
            </w:r>
            <w:r w:rsidRPr="007025D2">
              <w:rPr>
                <w:rFonts w:ascii="Times New Roman" w:hAnsi="Times New Roman" w:cs="Times New Roman"/>
                <w:sz w:val="20"/>
                <w:szCs w:val="20"/>
              </w:rPr>
              <w:t xml:space="preserve"> to improve outbreak reporting and response.</w:t>
            </w:r>
          </w:p>
        </w:tc>
        <w:tc>
          <w:tcPr>
            <w:tcW w:w="2700" w:type="dxa"/>
            <w:gridSpan w:val="2"/>
            <w:tcMar>
              <w:left w:w="115" w:type="dxa"/>
              <w:bottom w:w="58" w:type="dxa"/>
              <w:right w:w="115" w:type="dxa"/>
            </w:tcMar>
          </w:tcPr>
          <w:p w:rsidR="00CA761E" w:rsidRPr="007025D2" w:rsidRDefault="00CA761E" w:rsidP="00CA761E">
            <w:pPr>
              <w:spacing w:before="120"/>
              <w:rPr>
                <w:rFonts w:ascii="Times New Roman" w:hAnsi="Times New Roman" w:cs="Times New Roman"/>
                <w:sz w:val="20"/>
                <w:szCs w:val="20"/>
              </w:rPr>
            </w:pPr>
            <w:r w:rsidRPr="007025D2">
              <w:rPr>
                <w:rFonts w:ascii="Times New Roman" w:hAnsi="Times New Roman" w:cs="Times New Roman"/>
                <w:sz w:val="20"/>
                <w:szCs w:val="20"/>
              </w:rPr>
              <w:t xml:space="preserve">Explore public reporting of outbreak data, the </w:t>
            </w:r>
            <w:r>
              <w:rPr>
                <w:rFonts w:ascii="Times New Roman" w:hAnsi="Times New Roman" w:cs="Times New Roman"/>
                <w:sz w:val="20"/>
                <w:szCs w:val="20"/>
              </w:rPr>
              <w:t xml:space="preserve">need for </w:t>
            </w:r>
            <w:r w:rsidRPr="007025D2">
              <w:rPr>
                <w:rFonts w:ascii="Times New Roman" w:hAnsi="Times New Roman" w:cs="Times New Roman"/>
                <w:sz w:val="20"/>
                <w:szCs w:val="20"/>
              </w:rPr>
              <w:t xml:space="preserve">validation of outbreak </w:t>
            </w:r>
            <w:r>
              <w:rPr>
                <w:rFonts w:ascii="Times New Roman" w:hAnsi="Times New Roman" w:cs="Times New Roman"/>
                <w:sz w:val="20"/>
                <w:szCs w:val="20"/>
              </w:rPr>
              <w:t xml:space="preserve">data prior to public reporting </w:t>
            </w:r>
            <w:r w:rsidR="0076637F">
              <w:rPr>
                <w:rFonts w:ascii="Times New Roman" w:hAnsi="Times New Roman" w:cs="Times New Roman"/>
                <w:sz w:val="20"/>
                <w:szCs w:val="20"/>
              </w:rPr>
              <w:t>and which outbreaks are appropriate</w:t>
            </w:r>
            <w:r w:rsidRPr="007025D2">
              <w:rPr>
                <w:rFonts w:ascii="Times New Roman" w:hAnsi="Times New Roman" w:cs="Times New Roman"/>
                <w:sz w:val="20"/>
                <w:szCs w:val="20"/>
              </w:rPr>
              <w:t xml:space="preserve"> of public reporting, in real-time.</w:t>
            </w:r>
          </w:p>
        </w:tc>
      </w:tr>
      <w:tr w:rsidR="00CA761E" w:rsidRPr="00003E7E" w:rsidTr="00CA761E">
        <w:trPr>
          <w:trHeight w:val="1251"/>
        </w:trPr>
        <w:tc>
          <w:tcPr>
            <w:tcW w:w="1975" w:type="dxa"/>
            <w:gridSpan w:val="2"/>
            <w:vMerge/>
            <w:vAlign w:val="center"/>
          </w:tcPr>
          <w:p w:rsidR="00CA761E" w:rsidRPr="00003E7E" w:rsidRDefault="00CA761E" w:rsidP="00CA761E">
            <w:pPr>
              <w:rPr>
                <w:rFonts w:ascii="Times New Roman" w:hAnsi="Times New Roman" w:cs="Times New Roman"/>
                <w:sz w:val="20"/>
                <w:szCs w:val="20"/>
              </w:rPr>
            </w:pPr>
          </w:p>
        </w:tc>
        <w:tc>
          <w:tcPr>
            <w:tcW w:w="2813" w:type="dxa"/>
            <w:tcMar>
              <w:left w:w="115" w:type="dxa"/>
              <w:bottom w:w="58" w:type="dxa"/>
              <w:right w:w="115" w:type="dxa"/>
            </w:tcMar>
          </w:tcPr>
          <w:p w:rsidR="00CA761E" w:rsidRPr="007025D2" w:rsidRDefault="00CA761E" w:rsidP="00CA761E">
            <w:pPr>
              <w:ind w:left="360"/>
              <w:rPr>
                <w:rFonts w:ascii="Times New Roman" w:hAnsi="Times New Roman" w:cs="Times New Roman"/>
                <w:sz w:val="20"/>
                <w:szCs w:val="20"/>
              </w:rPr>
            </w:pPr>
          </w:p>
        </w:tc>
        <w:tc>
          <w:tcPr>
            <w:tcW w:w="4115" w:type="dxa"/>
            <w:gridSpan w:val="3"/>
            <w:tcMar>
              <w:left w:w="115" w:type="dxa"/>
              <w:bottom w:w="58" w:type="dxa"/>
              <w:right w:w="115" w:type="dxa"/>
            </w:tcMar>
          </w:tcPr>
          <w:p w:rsidR="00CA761E" w:rsidRPr="00003598" w:rsidRDefault="00CA761E" w:rsidP="00CA761E">
            <w:pPr>
              <w:spacing w:before="120"/>
              <w:rPr>
                <w:rFonts w:ascii="Times New Roman" w:hAnsi="Times New Roman" w:cs="Times New Roman"/>
                <w:sz w:val="20"/>
                <w:szCs w:val="20"/>
                <w:highlight w:val="cyan"/>
              </w:rPr>
            </w:pPr>
            <w:r w:rsidRPr="00003598">
              <w:rPr>
                <w:rFonts w:ascii="Times New Roman" w:hAnsi="Times New Roman" w:cs="Times New Roman"/>
                <w:sz w:val="20"/>
                <w:szCs w:val="20"/>
                <w:highlight w:val="cyan"/>
              </w:rPr>
              <w:t>Explore the need for additional laws related to State authority for public health to conduct investigations related to HAI outbreaks and lapses in infection prevention and control.</w:t>
            </w:r>
          </w:p>
        </w:tc>
        <w:tc>
          <w:tcPr>
            <w:tcW w:w="2635" w:type="dxa"/>
            <w:gridSpan w:val="2"/>
            <w:tcMar>
              <w:left w:w="115" w:type="dxa"/>
              <w:bottom w:w="58" w:type="dxa"/>
              <w:right w:w="115" w:type="dxa"/>
            </w:tcMar>
          </w:tcPr>
          <w:p w:rsidR="00CA761E" w:rsidRPr="007025D2" w:rsidRDefault="00CA761E" w:rsidP="00CA761E">
            <w:pPr>
              <w:spacing w:before="120"/>
              <w:rPr>
                <w:rFonts w:ascii="Times New Roman" w:hAnsi="Times New Roman" w:cs="Times New Roman"/>
                <w:sz w:val="20"/>
                <w:szCs w:val="20"/>
              </w:rPr>
            </w:pPr>
            <w:r w:rsidRPr="007025D2">
              <w:rPr>
                <w:rFonts w:ascii="Times New Roman" w:hAnsi="Times New Roman" w:cs="Times New Roman"/>
                <w:sz w:val="20"/>
                <w:szCs w:val="20"/>
              </w:rPr>
              <w:t>Explore communication plans among healthcare facilities to minimize the risk of transmission of infectious disease and/or outbreak.</w:t>
            </w:r>
          </w:p>
        </w:tc>
        <w:tc>
          <w:tcPr>
            <w:tcW w:w="2700" w:type="dxa"/>
            <w:gridSpan w:val="2"/>
            <w:tcMar>
              <w:left w:w="115" w:type="dxa"/>
              <w:bottom w:w="58" w:type="dxa"/>
              <w:right w:w="115" w:type="dxa"/>
            </w:tcMar>
          </w:tcPr>
          <w:p w:rsidR="00CA761E" w:rsidRPr="007025D2" w:rsidRDefault="00CA761E" w:rsidP="00CA761E">
            <w:pPr>
              <w:rPr>
                <w:rFonts w:ascii="Times New Roman" w:hAnsi="Times New Roman" w:cs="Times New Roman"/>
                <w:sz w:val="20"/>
                <w:szCs w:val="20"/>
              </w:rPr>
            </w:pPr>
          </w:p>
        </w:tc>
      </w:tr>
      <w:tr w:rsidR="00CA761E" w:rsidRPr="00003E7E" w:rsidTr="00CA761E">
        <w:tc>
          <w:tcPr>
            <w:tcW w:w="1975" w:type="dxa"/>
            <w:gridSpan w:val="2"/>
            <w:vMerge w:val="restart"/>
            <w:vAlign w:val="center"/>
          </w:tcPr>
          <w:p w:rsidR="00CA761E" w:rsidRPr="00003E7E" w:rsidRDefault="00CA761E" w:rsidP="00CA761E">
            <w:pPr>
              <w:rPr>
                <w:rFonts w:ascii="Times New Roman" w:hAnsi="Times New Roman" w:cs="Times New Roman"/>
                <w:sz w:val="20"/>
                <w:szCs w:val="20"/>
              </w:rPr>
            </w:pPr>
            <w:r w:rsidRPr="00003E7E">
              <w:rPr>
                <w:rFonts w:ascii="Times New Roman" w:hAnsi="Times New Roman" w:cs="Times New Roman"/>
                <w:sz w:val="20"/>
                <w:szCs w:val="20"/>
              </w:rPr>
              <w:t>Ensure preparedness for emerging pathogens, especially those needing enhanced precautions</w:t>
            </w:r>
          </w:p>
        </w:tc>
        <w:tc>
          <w:tcPr>
            <w:tcW w:w="2813" w:type="dxa"/>
            <w:tcMar>
              <w:left w:w="115" w:type="dxa"/>
              <w:bottom w:w="58" w:type="dxa"/>
              <w:right w:w="115" w:type="dxa"/>
            </w:tcMar>
            <w:vAlign w:val="center"/>
          </w:tcPr>
          <w:p w:rsidR="00CA761E" w:rsidRPr="00003598" w:rsidRDefault="00CA761E" w:rsidP="00CA761E">
            <w:pPr>
              <w:spacing w:before="120"/>
              <w:rPr>
                <w:rFonts w:ascii="Times New Roman" w:hAnsi="Times New Roman" w:cs="Times New Roman"/>
                <w:sz w:val="20"/>
                <w:szCs w:val="20"/>
                <w:highlight w:val="yellow"/>
              </w:rPr>
            </w:pPr>
            <w:r w:rsidRPr="00003598">
              <w:rPr>
                <w:rFonts w:ascii="Times New Roman" w:hAnsi="Times New Roman" w:cs="Times New Roman"/>
                <w:sz w:val="20"/>
                <w:szCs w:val="20"/>
                <w:highlight w:val="yellow"/>
              </w:rPr>
              <w:t xml:space="preserve">Assess Ebola readiness at all four Ebola-assessment hospitals in the state.  DHHS to work collaboratively with these selected healthcare facilities to address any remaining gaps in readiness in order to achieve “capacity met” status in each of 11 domains of preparedness.   </w:t>
            </w:r>
          </w:p>
          <w:p w:rsidR="00CA761E" w:rsidRPr="007025D2" w:rsidRDefault="00CA761E" w:rsidP="00CA761E">
            <w:pPr>
              <w:spacing w:before="120"/>
              <w:rPr>
                <w:rFonts w:ascii="Times New Roman" w:hAnsi="Times New Roman" w:cs="Times New Roman"/>
                <w:sz w:val="20"/>
                <w:szCs w:val="20"/>
              </w:rPr>
            </w:pPr>
            <w:r w:rsidRPr="00003598">
              <w:rPr>
                <w:rFonts w:ascii="Times New Roman" w:hAnsi="Times New Roman" w:cs="Times New Roman"/>
                <w:sz w:val="20"/>
                <w:szCs w:val="20"/>
                <w:highlight w:val="yellow"/>
              </w:rPr>
              <w:t>Conduct webinar with</w:t>
            </w:r>
            <w:r w:rsidR="0076637F" w:rsidRPr="00003598">
              <w:rPr>
                <w:rFonts w:ascii="Times New Roman" w:hAnsi="Times New Roman" w:cs="Times New Roman"/>
                <w:sz w:val="20"/>
                <w:szCs w:val="20"/>
                <w:highlight w:val="yellow"/>
              </w:rPr>
              <w:t xml:space="preserve"> all</w:t>
            </w:r>
            <w:r w:rsidRPr="00003598">
              <w:rPr>
                <w:rFonts w:ascii="Times New Roman" w:hAnsi="Times New Roman" w:cs="Times New Roman"/>
                <w:sz w:val="20"/>
                <w:szCs w:val="20"/>
                <w:highlight w:val="yellow"/>
              </w:rPr>
              <w:t xml:space="preserve"> hospitals to share findings.</w:t>
            </w:r>
          </w:p>
        </w:tc>
        <w:tc>
          <w:tcPr>
            <w:tcW w:w="9450" w:type="dxa"/>
            <w:gridSpan w:val="7"/>
            <w:tcMar>
              <w:left w:w="115" w:type="dxa"/>
              <w:bottom w:w="58" w:type="dxa"/>
              <w:right w:w="115" w:type="dxa"/>
            </w:tcMar>
            <w:vAlign w:val="center"/>
          </w:tcPr>
          <w:p w:rsidR="00CA761E" w:rsidRPr="007025D2" w:rsidRDefault="00CA761E" w:rsidP="00CA761E">
            <w:pPr>
              <w:rPr>
                <w:rFonts w:ascii="Times New Roman" w:hAnsi="Times New Roman" w:cs="Times New Roman"/>
                <w:sz w:val="20"/>
                <w:szCs w:val="20"/>
              </w:rPr>
            </w:pPr>
            <w:r w:rsidRPr="00C9591F">
              <w:rPr>
                <w:rFonts w:ascii="Times New Roman" w:hAnsi="Times New Roman" w:cs="Times New Roman"/>
                <w:sz w:val="20"/>
                <w:szCs w:val="20"/>
                <w:highlight w:val="yellow"/>
              </w:rPr>
              <w:t>Explore state level emerging pathogen drill and/or table top exercise at HAI conference.</w:t>
            </w:r>
          </w:p>
        </w:tc>
      </w:tr>
      <w:tr w:rsidR="00CA761E" w:rsidRPr="00003E7E" w:rsidTr="00CA761E">
        <w:tc>
          <w:tcPr>
            <w:tcW w:w="1975" w:type="dxa"/>
            <w:gridSpan w:val="2"/>
            <w:vMerge/>
            <w:vAlign w:val="center"/>
          </w:tcPr>
          <w:p w:rsidR="00CA761E" w:rsidRPr="00003E7E" w:rsidRDefault="00CA761E" w:rsidP="00CA761E">
            <w:pPr>
              <w:rPr>
                <w:rFonts w:ascii="Times New Roman" w:hAnsi="Times New Roman" w:cs="Times New Roman"/>
                <w:sz w:val="20"/>
                <w:szCs w:val="20"/>
              </w:rPr>
            </w:pPr>
          </w:p>
        </w:tc>
        <w:tc>
          <w:tcPr>
            <w:tcW w:w="2813" w:type="dxa"/>
            <w:tcMar>
              <w:left w:w="115" w:type="dxa"/>
              <w:bottom w:w="58" w:type="dxa"/>
              <w:right w:w="115" w:type="dxa"/>
            </w:tcMar>
          </w:tcPr>
          <w:p w:rsidR="00CA761E" w:rsidRPr="00583452" w:rsidRDefault="00CA761E" w:rsidP="00CA761E">
            <w:pPr>
              <w:spacing w:before="120"/>
              <w:rPr>
                <w:rFonts w:ascii="Times New Roman" w:hAnsi="Times New Roman" w:cs="Times New Roman"/>
                <w:sz w:val="20"/>
                <w:szCs w:val="20"/>
              </w:rPr>
            </w:pPr>
            <w:r>
              <w:rPr>
                <w:rFonts w:ascii="Times New Roman" w:hAnsi="Times New Roman" w:cs="Times New Roman"/>
                <w:sz w:val="20"/>
                <w:szCs w:val="20"/>
              </w:rPr>
              <w:t>CRE should become a ‘Notifiable Conditions’ by the fall of 2015.  All cases of CRE would be reportable to Maine CDC for epidemiologic study.</w:t>
            </w:r>
          </w:p>
        </w:tc>
        <w:tc>
          <w:tcPr>
            <w:tcW w:w="4115" w:type="dxa"/>
            <w:gridSpan w:val="3"/>
            <w:tcMar>
              <w:left w:w="115" w:type="dxa"/>
              <w:bottom w:w="58" w:type="dxa"/>
              <w:right w:w="115" w:type="dxa"/>
            </w:tcMar>
          </w:tcPr>
          <w:p w:rsidR="00CA761E" w:rsidRDefault="00CA761E" w:rsidP="00CA761E">
            <w:pPr>
              <w:spacing w:before="120"/>
              <w:rPr>
                <w:rFonts w:ascii="Times New Roman" w:hAnsi="Times New Roman" w:cs="Times New Roman"/>
                <w:sz w:val="20"/>
                <w:szCs w:val="20"/>
              </w:rPr>
            </w:pPr>
            <w:r w:rsidRPr="004F2EA1">
              <w:rPr>
                <w:rFonts w:ascii="Times New Roman" w:hAnsi="Times New Roman" w:cs="Times New Roman"/>
                <w:sz w:val="20"/>
                <w:szCs w:val="20"/>
                <w:highlight w:val="magenta"/>
              </w:rPr>
              <w:t>Analyze initial data from CRE as a Notifiable Condition in the state.   Based on first year findings, determine the need for additional guidance for control of CRE beyond the federal CDC 2012 CRE Toolkit.</w:t>
            </w:r>
          </w:p>
          <w:p w:rsidR="00CA761E" w:rsidRDefault="00CA761E" w:rsidP="00CA761E">
            <w:pPr>
              <w:spacing w:before="120"/>
              <w:rPr>
                <w:rFonts w:ascii="Times New Roman" w:hAnsi="Times New Roman" w:cs="Times New Roman"/>
                <w:sz w:val="20"/>
                <w:szCs w:val="20"/>
              </w:rPr>
            </w:pPr>
            <w:r>
              <w:rPr>
                <w:rFonts w:ascii="Times New Roman" w:hAnsi="Times New Roman" w:cs="Times New Roman"/>
                <w:sz w:val="20"/>
                <w:szCs w:val="20"/>
              </w:rPr>
              <w:t>Investigate having local labs send CRE specimens to HETL to store, in case funds for PCR become available in the future.</w:t>
            </w:r>
          </w:p>
        </w:tc>
        <w:tc>
          <w:tcPr>
            <w:tcW w:w="5335" w:type="dxa"/>
            <w:gridSpan w:val="4"/>
            <w:tcMar>
              <w:left w:w="115" w:type="dxa"/>
              <w:bottom w:w="58" w:type="dxa"/>
              <w:right w:w="115" w:type="dxa"/>
            </w:tcMar>
          </w:tcPr>
          <w:p w:rsidR="00CA761E" w:rsidRDefault="00CA761E" w:rsidP="00CA761E">
            <w:pPr>
              <w:spacing w:before="120"/>
              <w:rPr>
                <w:rFonts w:ascii="Times New Roman" w:hAnsi="Times New Roman" w:cs="Times New Roman"/>
                <w:sz w:val="20"/>
                <w:szCs w:val="20"/>
              </w:rPr>
            </w:pPr>
            <w:r w:rsidRPr="00A12A29">
              <w:rPr>
                <w:rFonts w:ascii="Times New Roman" w:hAnsi="Times New Roman" w:cs="Times New Roman"/>
                <w:sz w:val="20"/>
                <w:szCs w:val="20"/>
              </w:rPr>
              <w:t xml:space="preserve">Include CRE data in the </w:t>
            </w:r>
            <w:r>
              <w:rPr>
                <w:rFonts w:ascii="Times New Roman" w:hAnsi="Times New Roman" w:cs="Times New Roman"/>
                <w:sz w:val="20"/>
                <w:szCs w:val="20"/>
              </w:rPr>
              <w:t xml:space="preserve">Maine CDC’s </w:t>
            </w:r>
            <w:r w:rsidRPr="00FF1C27">
              <w:rPr>
                <w:rFonts w:ascii="Times New Roman" w:hAnsi="Times New Roman" w:cs="Times New Roman"/>
                <w:i/>
                <w:sz w:val="20"/>
                <w:szCs w:val="20"/>
              </w:rPr>
              <w:t>Reportable Infectious Diseases in Maine</w:t>
            </w:r>
            <w:r>
              <w:rPr>
                <w:rFonts w:ascii="Times New Roman" w:hAnsi="Times New Roman" w:cs="Times New Roman"/>
                <w:sz w:val="20"/>
                <w:szCs w:val="20"/>
              </w:rPr>
              <w:t xml:space="preserve"> annual summary report (include genotypic data).</w:t>
            </w:r>
          </w:p>
        </w:tc>
      </w:tr>
      <w:tr w:rsidR="00CA761E" w:rsidRPr="00282474" w:rsidTr="00CA7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4" w:type="dxa"/>
        </w:trPr>
        <w:tc>
          <w:tcPr>
            <w:tcW w:w="13594" w:type="dxa"/>
            <w:gridSpan w:val="9"/>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B6DDE8" w:themeFill="accent5" w:themeFillTint="66"/>
          </w:tcPr>
          <w:p w:rsidR="00CA761E" w:rsidRPr="00282474" w:rsidRDefault="00CA761E" w:rsidP="00CA761E">
            <w:pPr>
              <w:jc w:val="center"/>
              <w:rPr>
                <w:rFonts w:ascii="Times New Roman" w:hAnsi="Times New Roman" w:cs="Times New Roman"/>
                <w:b/>
                <w:sz w:val="24"/>
              </w:rPr>
            </w:pPr>
            <w:r w:rsidRPr="00CA761E">
              <w:rPr>
                <w:rFonts w:ascii="Times New Roman" w:hAnsi="Times New Roman" w:cs="Times New Roman"/>
                <w:b/>
                <w:sz w:val="32"/>
              </w:rPr>
              <w:t>ANALYZE</w:t>
            </w:r>
          </w:p>
        </w:tc>
      </w:tr>
      <w:tr w:rsidR="00CA761E" w:rsidRPr="00282474" w:rsidTr="00CA7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4" w:type="dxa"/>
        </w:trPr>
        <w:tc>
          <w:tcPr>
            <w:tcW w:w="195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AEEF3" w:themeFill="accent5" w:themeFillTint="33"/>
          </w:tcPr>
          <w:p w:rsidR="00CA761E" w:rsidRPr="00282474" w:rsidRDefault="00CA761E" w:rsidP="00CA761E">
            <w:pPr>
              <w:jc w:val="center"/>
              <w:rPr>
                <w:rFonts w:ascii="Times New Roman" w:hAnsi="Times New Roman" w:cs="Times New Roman"/>
                <w:b/>
                <w:sz w:val="24"/>
              </w:rPr>
            </w:pPr>
            <w:r w:rsidRPr="00282474">
              <w:rPr>
                <w:rFonts w:ascii="Times New Roman" w:hAnsi="Times New Roman" w:cs="Times New Roman"/>
                <w:b/>
                <w:sz w:val="24"/>
              </w:rPr>
              <w:t>Priorities</w:t>
            </w:r>
          </w:p>
        </w:tc>
        <w:tc>
          <w:tcPr>
            <w:tcW w:w="2920" w:type="dxa"/>
            <w:gridSpan w:val="3"/>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AEEF3" w:themeFill="accent5" w:themeFillTint="33"/>
          </w:tcPr>
          <w:p w:rsidR="00CA761E" w:rsidRPr="00282474" w:rsidRDefault="00CA761E" w:rsidP="00CA761E">
            <w:pPr>
              <w:jc w:val="center"/>
              <w:rPr>
                <w:rFonts w:ascii="Times New Roman" w:hAnsi="Times New Roman" w:cs="Times New Roman"/>
                <w:b/>
                <w:sz w:val="24"/>
              </w:rPr>
            </w:pPr>
            <w:r>
              <w:rPr>
                <w:rFonts w:ascii="Times New Roman" w:hAnsi="Times New Roman" w:cs="Times New Roman"/>
                <w:b/>
                <w:sz w:val="24"/>
              </w:rPr>
              <w:t>2015</w:t>
            </w:r>
          </w:p>
        </w:tc>
        <w:tc>
          <w:tcPr>
            <w:tcW w:w="333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AEEF3" w:themeFill="accent5" w:themeFillTint="33"/>
          </w:tcPr>
          <w:p w:rsidR="00CA761E" w:rsidRPr="00282474" w:rsidRDefault="00CA761E" w:rsidP="00CA761E">
            <w:pPr>
              <w:jc w:val="center"/>
              <w:rPr>
                <w:rFonts w:ascii="Times New Roman" w:hAnsi="Times New Roman" w:cs="Times New Roman"/>
                <w:b/>
                <w:sz w:val="24"/>
              </w:rPr>
            </w:pPr>
            <w:r>
              <w:rPr>
                <w:rFonts w:ascii="Times New Roman" w:hAnsi="Times New Roman" w:cs="Times New Roman"/>
                <w:b/>
                <w:sz w:val="24"/>
              </w:rPr>
              <w:t>2016</w:t>
            </w:r>
          </w:p>
        </w:tc>
        <w:tc>
          <w:tcPr>
            <w:tcW w:w="2880"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AEEF3" w:themeFill="accent5" w:themeFillTint="33"/>
          </w:tcPr>
          <w:p w:rsidR="00CA761E" w:rsidRPr="00282474" w:rsidRDefault="00CA761E" w:rsidP="00CA761E">
            <w:pPr>
              <w:jc w:val="center"/>
              <w:rPr>
                <w:rFonts w:ascii="Times New Roman" w:hAnsi="Times New Roman" w:cs="Times New Roman"/>
                <w:b/>
                <w:sz w:val="24"/>
              </w:rPr>
            </w:pPr>
            <w:r>
              <w:rPr>
                <w:rFonts w:ascii="Times New Roman" w:hAnsi="Times New Roman" w:cs="Times New Roman"/>
                <w:b/>
                <w:sz w:val="24"/>
              </w:rPr>
              <w:t>2017</w:t>
            </w:r>
          </w:p>
        </w:tc>
        <w:tc>
          <w:tcPr>
            <w:tcW w:w="2506"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AEEF3" w:themeFill="accent5" w:themeFillTint="33"/>
          </w:tcPr>
          <w:p w:rsidR="00CA761E" w:rsidRPr="00282474" w:rsidRDefault="00CA761E" w:rsidP="00CA761E">
            <w:pPr>
              <w:jc w:val="center"/>
              <w:rPr>
                <w:rFonts w:ascii="Times New Roman" w:hAnsi="Times New Roman" w:cs="Times New Roman"/>
                <w:b/>
                <w:sz w:val="24"/>
              </w:rPr>
            </w:pPr>
            <w:r>
              <w:rPr>
                <w:rFonts w:ascii="Times New Roman" w:hAnsi="Times New Roman" w:cs="Times New Roman"/>
                <w:b/>
                <w:sz w:val="24"/>
              </w:rPr>
              <w:t>2018</w:t>
            </w:r>
          </w:p>
        </w:tc>
      </w:tr>
      <w:tr w:rsidR="003C44FB" w:rsidRPr="00282474" w:rsidTr="007C1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4" w:type="dxa"/>
        </w:trPr>
        <w:tc>
          <w:tcPr>
            <w:tcW w:w="1958" w:type="dxa"/>
            <w:vMerge w:val="restart"/>
            <w:tcBorders>
              <w:top w:val="single" w:sz="8" w:space="0" w:color="A6A6A6" w:themeColor="background1" w:themeShade="A6"/>
              <w:left w:val="single" w:sz="8" w:space="0" w:color="A6A6A6" w:themeColor="background1" w:themeShade="A6"/>
              <w:right w:val="single" w:sz="8" w:space="0" w:color="A6A6A6" w:themeColor="background1" w:themeShade="A6"/>
            </w:tcBorders>
            <w:vAlign w:val="center"/>
          </w:tcPr>
          <w:p w:rsidR="003C44FB" w:rsidRPr="00FB2016" w:rsidRDefault="003C44FB" w:rsidP="007C1B3A">
            <w:pPr>
              <w:rPr>
                <w:rFonts w:ascii="Times New Roman" w:hAnsi="Times New Roman" w:cs="Times New Roman"/>
                <w:sz w:val="20"/>
              </w:rPr>
            </w:pPr>
            <w:r w:rsidRPr="00FB2016">
              <w:rPr>
                <w:rFonts w:ascii="Times New Roman" w:hAnsi="Times New Roman" w:cs="Times New Roman"/>
                <w:sz w:val="20"/>
              </w:rPr>
              <w:t>Prioritize HAI data for statewide surveillance</w:t>
            </w:r>
          </w:p>
        </w:tc>
        <w:tc>
          <w:tcPr>
            <w:tcW w:w="2920" w:type="dxa"/>
            <w:gridSpan w:val="3"/>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rsidR="003C44FB" w:rsidRPr="000F6278" w:rsidRDefault="003C44FB" w:rsidP="00CA761E">
            <w:pPr>
              <w:spacing w:before="120"/>
              <w:rPr>
                <w:rFonts w:ascii="Times New Roman" w:hAnsi="Times New Roman" w:cs="Times New Roman"/>
                <w:sz w:val="20"/>
                <w:highlight w:val="green"/>
              </w:rPr>
            </w:pPr>
            <w:r w:rsidRPr="000F6278">
              <w:rPr>
                <w:rFonts w:ascii="Times New Roman" w:hAnsi="Times New Roman" w:cs="Times New Roman"/>
                <w:sz w:val="20"/>
                <w:highlight w:val="green"/>
              </w:rPr>
              <w:t>Update HAI reporting requirements (Chapter 270) to bring it into alignment with state and federal HAI changes.</w:t>
            </w:r>
          </w:p>
        </w:tc>
        <w:tc>
          <w:tcPr>
            <w:tcW w:w="333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115" w:type="dxa"/>
              <w:bottom w:w="58" w:type="dxa"/>
              <w:right w:w="115" w:type="dxa"/>
            </w:tcMar>
          </w:tcPr>
          <w:p w:rsidR="003C44FB" w:rsidRPr="000F6278" w:rsidRDefault="003C44FB" w:rsidP="003C44FB">
            <w:pPr>
              <w:spacing w:before="120"/>
              <w:rPr>
                <w:rFonts w:ascii="Times New Roman" w:hAnsi="Times New Roman" w:cs="Times New Roman"/>
                <w:sz w:val="20"/>
                <w:highlight w:val="green"/>
              </w:rPr>
            </w:pPr>
            <w:r w:rsidRPr="000F6278">
              <w:rPr>
                <w:rFonts w:ascii="Times New Roman" w:hAnsi="Times New Roman" w:cs="Times New Roman"/>
                <w:sz w:val="20"/>
                <w:highlight w:val="green"/>
              </w:rPr>
              <w:t>Review and revise state mandated HAI reporting requirements (Chapter 270).</w:t>
            </w:r>
          </w:p>
        </w:tc>
        <w:tc>
          <w:tcPr>
            <w:tcW w:w="2880"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rsidR="003C44FB" w:rsidRPr="00FB2016" w:rsidRDefault="003C44FB" w:rsidP="00CA761E">
            <w:pPr>
              <w:rPr>
                <w:rFonts w:ascii="Times New Roman" w:hAnsi="Times New Roman" w:cs="Times New Roman"/>
                <w:sz w:val="20"/>
              </w:rPr>
            </w:pPr>
          </w:p>
        </w:tc>
        <w:tc>
          <w:tcPr>
            <w:tcW w:w="2506"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rsidR="003C44FB" w:rsidRPr="00FB2016" w:rsidRDefault="003C44FB" w:rsidP="00CA761E">
            <w:pPr>
              <w:rPr>
                <w:rFonts w:ascii="Times New Roman" w:hAnsi="Times New Roman" w:cs="Times New Roman"/>
                <w:sz w:val="20"/>
              </w:rPr>
            </w:pPr>
          </w:p>
        </w:tc>
      </w:tr>
      <w:tr w:rsidR="003C44FB" w:rsidRPr="00282474" w:rsidTr="007C1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4" w:type="dxa"/>
        </w:trPr>
        <w:tc>
          <w:tcPr>
            <w:tcW w:w="1958" w:type="dxa"/>
            <w:vMerge/>
            <w:tcBorders>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rsidR="003C44FB" w:rsidRPr="00FB2016" w:rsidRDefault="003C44FB" w:rsidP="00CA761E">
            <w:pPr>
              <w:rPr>
                <w:rFonts w:ascii="Times New Roman" w:hAnsi="Times New Roman" w:cs="Times New Roman"/>
                <w:sz w:val="20"/>
              </w:rPr>
            </w:pPr>
          </w:p>
        </w:tc>
        <w:tc>
          <w:tcPr>
            <w:tcW w:w="2920" w:type="dxa"/>
            <w:gridSpan w:val="3"/>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rsidR="003C44FB" w:rsidRPr="000F6278" w:rsidRDefault="003C44FB" w:rsidP="003C44FB">
            <w:pPr>
              <w:spacing w:before="120"/>
              <w:rPr>
                <w:rFonts w:ascii="Times New Roman" w:hAnsi="Times New Roman" w:cs="Times New Roman"/>
                <w:sz w:val="20"/>
                <w:highlight w:val="green"/>
              </w:rPr>
            </w:pPr>
          </w:p>
        </w:tc>
        <w:tc>
          <w:tcPr>
            <w:tcW w:w="333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115" w:type="dxa"/>
              <w:bottom w:w="58" w:type="dxa"/>
              <w:right w:w="115" w:type="dxa"/>
            </w:tcMar>
          </w:tcPr>
          <w:p w:rsidR="003C44FB" w:rsidRPr="000F6278" w:rsidRDefault="003C44FB" w:rsidP="00CA761E">
            <w:pPr>
              <w:spacing w:before="120" w:after="120"/>
              <w:rPr>
                <w:rFonts w:ascii="Times New Roman" w:hAnsi="Times New Roman" w:cs="Times New Roman"/>
                <w:sz w:val="20"/>
                <w:highlight w:val="green"/>
              </w:rPr>
            </w:pPr>
            <w:r w:rsidRPr="000F6278">
              <w:rPr>
                <w:rFonts w:ascii="Times New Roman" w:hAnsi="Times New Roman" w:cs="Times New Roman"/>
                <w:sz w:val="20"/>
                <w:highlight w:val="green"/>
              </w:rPr>
              <w:t>Explore surveillance for LTC facilities, targeting MDROs, antibiotic usage, use of MHDO vs. NHSN for reporting.</w:t>
            </w:r>
          </w:p>
        </w:tc>
        <w:tc>
          <w:tcPr>
            <w:tcW w:w="2880"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rsidR="003C44FB" w:rsidRPr="00FB2016" w:rsidRDefault="003C44FB" w:rsidP="00CA761E">
            <w:pPr>
              <w:rPr>
                <w:rFonts w:ascii="Times New Roman" w:hAnsi="Times New Roman" w:cs="Times New Roman"/>
                <w:sz w:val="20"/>
              </w:rPr>
            </w:pPr>
          </w:p>
        </w:tc>
        <w:tc>
          <w:tcPr>
            <w:tcW w:w="2506"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rsidR="003C44FB" w:rsidRPr="00FB2016" w:rsidRDefault="003C44FB" w:rsidP="00CA761E">
            <w:pPr>
              <w:rPr>
                <w:rFonts w:ascii="Times New Roman" w:hAnsi="Times New Roman" w:cs="Times New Roman"/>
                <w:sz w:val="20"/>
              </w:rPr>
            </w:pPr>
          </w:p>
        </w:tc>
      </w:tr>
      <w:tr w:rsidR="00CA761E" w:rsidRPr="00282474" w:rsidTr="00CA7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4" w:type="dxa"/>
        </w:trPr>
        <w:tc>
          <w:tcPr>
            <w:tcW w:w="195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rsidR="00CA761E" w:rsidRPr="00FB2016" w:rsidRDefault="00CA761E" w:rsidP="00CA761E">
            <w:pPr>
              <w:spacing w:before="120" w:after="120"/>
              <w:rPr>
                <w:rFonts w:ascii="Times New Roman" w:hAnsi="Times New Roman" w:cs="Times New Roman"/>
                <w:sz w:val="20"/>
              </w:rPr>
            </w:pPr>
            <w:r w:rsidRPr="00FB2016">
              <w:rPr>
                <w:rFonts w:ascii="Times New Roman" w:hAnsi="Times New Roman" w:cs="Times New Roman"/>
                <w:sz w:val="20"/>
              </w:rPr>
              <w:t xml:space="preserve">Ensure quality </w:t>
            </w:r>
            <w:r>
              <w:rPr>
                <w:rFonts w:ascii="Times New Roman" w:hAnsi="Times New Roman" w:cs="Times New Roman"/>
                <w:sz w:val="20"/>
              </w:rPr>
              <w:br/>
            </w:r>
            <w:r w:rsidRPr="00FB2016">
              <w:rPr>
                <w:rFonts w:ascii="Times New Roman" w:hAnsi="Times New Roman" w:cs="Times New Roman"/>
                <w:sz w:val="20"/>
              </w:rPr>
              <w:t>of HAI data</w:t>
            </w:r>
          </w:p>
        </w:tc>
        <w:tc>
          <w:tcPr>
            <w:tcW w:w="11636" w:type="dxa"/>
            <w:gridSpan w:val="8"/>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rsidR="00CA761E" w:rsidRPr="00FB2016" w:rsidRDefault="0076637F" w:rsidP="00CA761E">
            <w:pPr>
              <w:spacing w:before="120"/>
              <w:rPr>
                <w:rFonts w:ascii="Times New Roman" w:hAnsi="Times New Roman" w:cs="Times New Roman"/>
                <w:sz w:val="20"/>
              </w:rPr>
            </w:pPr>
            <w:r>
              <w:rPr>
                <w:rFonts w:ascii="Times New Roman" w:hAnsi="Times New Roman" w:cs="Times New Roman"/>
                <w:sz w:val="20"/>
              </w:rPr>
              <w:t>Conduct validation for</w:t>
            </w:r>
            <w:r w:rsidR="00CA761E" w:rsidRPr="00FB2016">
              <w:rPr>
                <w:rFonts w:ascii="Times New Roman" w:hAnsi="Times New Roman" w:cs="Times New Roman"/>
                <w:sz w:val="20"/>
              </w:rPr>
              <w:t xml:space="preserve"> NHSN reportable data on a rotating schedule</w:t>
            </w:r>
            <w:r>
              <w:rPr>
                <w:rFonts w:ascii="Times New Roman" w:hAnsi="Times New Roman" w:cs="Times New Roman"/>
                <w:sz w:val="20"/>
              </w:rPr>
              <w:t>, as needed</w:t>
            </w:r>
            <w:r w:rsidR="00CA761E" w:rsidRPr="00FB2016">
              <w:rPr>
                <w:rFonts w:ascii="Times New Roman" w:hAnsi="Times New Roman" w:cs="Times New Roman"/>
                <w:sz w:val="20"/>
              </w:rPr>
              <w:t>.</w:t>
            </w:r>
          </w:p>
        </w:tc>
      </w:tr>
      <w:tr w:rsidR="00CA761E" w:rsidRPr="00282474" w:rsidTr="00CA7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4" w:type="dxa"/>
        </w:trPr>
        <w:tc>
          <w:tcPr>
            <w:tcW w:w="1958" w:type="dxa"/>
            <w:vMerge w:val="restar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rsidR="00CA761E" w:rsidRPr="00FB2016" w:rsidRDefault="00CA761E" w:rsidP="00CA761E">
            <w:pPr>
              <w:rPr>
                <w:rFonts w:ascii="Times New Roman" w:hAnsi="Times New Roman" w:cs="Times New Roman"/>
                <w:sz w:val="20"/>
              </w:rPr>
            </w:pPr>
            <w:r w:rsidRPr="00FB2016">
              <w:rPr>
                <w:rFonts w:ascii="Times New Roman" w:hAnsi="Times New Roman" w:cs="Times New Roman"/>
                <w:sz w:val="20"/>
              </w:rPr>
              <w:t>Ensure surveillance data is available to key stakeholders</w:t>
            </w:r>
          </w:p>
        </w:tc>
        <w:tc>
          <w:tcPr>
            <w:tcW w:w="11636" w:type="dxa"/>
            <w:gridSpan w:val="8"/>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rsidR="00CA761E" w:rsidRPr="00FB2016" w:rsidRDefault="00CA761E" w:rsidP="00CA761E">
            <w:pPr>
              <w:spacing w:before="120" w:after="120"/>
              <w:rPr>
                <w:rFonts w:ascii="Times New Roman" w:hAnsi="Times New Roman" w:cs="Times New Roman"/>
                <w:sz w:val="20"/>
              </w:rPr>
            </w:pPr>
            <w:r w:rsidRPr="00915433">
              <w:rPr>
                <w:rFonts w:ascii="Times New Roman" w:hAnsi="Times New Roman" w:cs="Times New Roman"/>
                <w:sz w:val="20"/>
              </w:rPr>
              <w:t>Legislature and Public:  State HAI Annual Report issued by MHDO/MQF.</w:t>
            </w:r>
          </w:p>
        </w:tc>
      </w:tr>
      <w:tr w:rsidR="00CA761E" w:rsidRPr="00282474" w:rsidTr="00CA7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4" w:type="dxa"/>
        </w:trPr>
        <w:tc>
          <w:tcPr>
            <w:tcW w:w="1958" w:type="dxa"/>
            <w:vMerge/>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rsidR="00CA761E" w:rsidRPr="00FB2016" w:rsidRDefault="00CA761E" w:rsidP="00CA761E">
            <w:pPr>
              <w:rPr>
                <w:rFonts w:ascii="Times New Roman" w:hAnsi="Times New Roman" w:cs="Times New Roman"/>
                <w:sz w:val="20"/>
              </w:rPr>
            </w:pPr>
          </w:p>
        </w:tc>
        <w:tc>
          <w:tcPr>
            <w:tcW w:w="11636" w:type="dxa"/>
            <w:gridSpan w:val="8"/>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rsidR="00CA761E" w:rsidRPr="00FB2016" w:rsidRDefault="00CA761E" w:rsidP="00CA761E">
            <w:pPr>
              <w:spacing w:before="120" w:after="120"/>
              <w:rPr>
                <w:rFonts w:ascii="Times New Roman" w:hAnsi="Times New Roman" w:cs="Times New Roman"/>
                <w:sz w:val="20"/>
              </w:rPr>
            </w:pPr>
            <w:r w:rsidRPr="00FB2016">
              <w:rPr>
                <w:rFonts w:ascii="Times New Roman" w:hAnsi="Times New Roman" w:cs="Times New Roman"/>
                <w:sz w:val="20"/>
              </w:rPr>
              <w:t>Public:  Comparisons of acute care hospital cost, patient satisfaction and HAI data provided through Compare Maine</w:t>
            </w:r>
          </w:p>
        </w:tc>
      </w:tr>
      <w:tr w:rsidR="00CA761E" w:rsidRPr="00282474" w:rsidTr="00CA7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4" w:type="dxa"/>
        </w:trPr>
        <w:tc>
          <w:tcPr>
            <w:tcW w:w="1958" w:type="dxa"/>
            <w:vMerge/>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rsidR="00CA761E" w:rsidRPr="00FB2016" w:rsidRDefault="00CA761E" w:rsidP="00CA761E">
            <w:pPr>
              <w:rPr>
                <w:rFonts w:ascii="Times New Roman" w:hAnsi="Times New Roman" w:cs="Times New Roman"/>
                <w:sz w:val="20"/>
              </w:rPr>
            </w:pPr>
          </w:p>
        </w:tc>
        <w:tc>
          <w:tcPr>
            <w:tcW w:w="11636" w:type="dxa"/>
            <w:gridSpan w:val="8"/>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rsidR="00CA761E" w:rsidRPr="00FB2016" w:rsidRDefault="00CA761E" w:rsidP="00CA761E">
            <w:pPr>
              <w:spacing w:before="120" w:after="120"/>
              <w:rPr>
                <w:rFonts w:ascii="Times New Roman" w:hAnsi="Times New Roman" w:cs="Times New Roman"/>
                <w:sz w:val="20"/>
              </w:rPr>
            </w:pPr>
            <w:r w:rsidRPr="00FB2016">
              <w:rPr>
                <w:rFonts w:ascii="Times New Roman" w:hAnsi="Times New Roman" w:cs="Times New Roman"/>
                <w:sz w:val="20"/>
              </w:rPr>
              <w:t>Healthcare Facilities:  Facility and region (six New England states) reports for facilities in QIN-QIO collaborative programs.</w:t>
            </w:r>
          </w:p>
        </w:tc>
      </w:tr>
      <w:tr w:rsidR="00CA761E" w:rsidRPr="00282474" w:rsidTr="00CA7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4" w:type="dxa"/>
        </w:trPr>
        <w:tc>
          <w:tcPr>
            <w:tcW w:w="1958" w:type="dxa"/>
            <w:vMerge/>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rsidR="00CA761E" w:rsidRPr="00FB2016" w:rsidRDefault="00CA761E" w:rsidP="00CA761E">
            <w:pPr>
              <w:rPr>
                <w:rFonts w:ascii="Times New Roman" w:hAnsi="Times New Roman" w:cs="Times New Roman"/>
                <w:sz w:val="20"/>
              </w:rPr>
            </w:pPr>
          </w:p>
        </w:tc>
        <w:tc>
          <w:tcPr>
            <w:tcW w:w="11636" w:type="dxa"/>
            <w:gridSpan w:val="8"/>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rsidR="00CA761E" w:rsidRPr="00FB2016" w:rsidRDefault="00CA761E" w:rsidP="00CA761E">
            <w:pPr>
              <w:spacing w:before="120" w:after="120"/>
              <w:rPr>
                <w:rFonts w:ascii="Times New Roman" w:hAnsi="Times New Roman" w:cs="Times New Roman"/>
                <w:i/>
                <w:sz w:val="20"/>
              </w:rPr>
            </w:pPr>
            <w:r w:rsidRPr="00FB2016">
              <w:rPr>
                <w:rFonts w:ascii="Times New Roman" w:hAnsi="Times New Roman" w:cs="Times New Roman"/>
                <w:sz w:val="20"/>
              </w:rPr>
              <w:t>Acute Care:  CEO Dashboard Reports issued annually by Maine CDC; facility specific trend of HAI and prevention data.</w:t>
            </w:r>
            <w:r>
              <w:rPr>
                <w:rFonts w:ascii="Times New Roman" w:hAnsi="Times New Roman" w:cs="Times New Roman"/>
                <w:sz w:val="20"/>
              </w:rPr>
              <w:br/>
            </w:r>
            <w:r w:rsidRPr="00FB2016">
              <w:rPr>
                <w:rFonts w:ascii="Times New Roman" w:hAnsi="Times New Roman" w:cs="Times New Roman"/>
                <w:i/>
                <w:sz w:val="20"/>
              </w:rPr>
              <w:t>(to be expanded to other facilities types as they come on board with HAI reporting)</w:t>
            </w:r>
          </w:p>
        </w:tc>
      </w:tr>
      <w:tr w:rsidR="00CA761E" w:rsidRPr="00282474" w:rsidTr="00CA7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4" w:type="dxa"/>
        </w:trPr>
        <w:tc>
          <w:tcPr>
            <w:tcW w:w="1958" w:type="dxa"/>
            <w:vMerge/>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rsidR="00CA761E" w:rsidRPr="00FB2016" w:rsidRDefault="00CA761E" w:rsidP="00CA761E">
            <w:pPr>
              <w:rPr>
                <w:rFonts w:ascii="Times New Roman" w:hAnsi="Times New Roman" w:cs="Times New Roman"/>
                <w:sz w:val="20"/>
              </w:rPr>
            </w:pPr>
          </w:p>
        </w:tc>
        <w:tc>
          <w:tcPr>
            <w:tcW w:w="11636" w:type="dxa"/>
            <w:gridSpan w:val="8"/>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rsidR="00CA761E" w:rsidRPr="00FB2016" w:rsidRDefault="00CA761E" w:rsidP="00CA761E">
            <w:pPr>
              <w:spacing w:before="120" w:after="120"/>
              <w:rPr>
                <w:rFonts w:ascii="Times New Roman" w:hAnsi="Times New Roman" w:cs="Times New Roman"/>
                <w:sz w:val="20"/>
              </w:rPr>
            </w:pPr>
            <w:r w:rsidRPr="00FB2016">
              <w:rPr>
                <w:rFonts w:ascii="Times New Roman" w:hAnsi="Times New Roman" w:cs="Times New Roman"/>
                <w:sz w:val="20"/>
              </w:rPr>
              <w:t>The Maine Hospital Association (MHA) Board of Directors:  Regularly reviewing hospital specific and statewide C. difficile and MRSA data obtained from the Maine CDC/MHDO.</w:t>
            </w:r>
          </w:p>
        </w:tc>
      </w:tr>
      <w:tr w:rsidR="00CA761E" w:rsidRPr="00282474" w:rsidTr="00CA7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4" w:type="dxa"/>
        </w:trPr>
        <w:tc>
          <w:tcPr>
            <w:tcW w:w="195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rsidR="00CA761E" w:rsidRPr="00FB2016" w:rsidRDefault="00CA761E" w:rsidP="00CA761E">
            <w:pPr>
              <w:rPr>
                <w:rFonts w:ascii="Times New Roman" w:hAnsi="Times New Roman" w:cs="Times New Roman"/>
                <w:sz w:val="20"/>
              </w:rPr>
            </w:pPr>
            <w:r w:rsidRPr="00FB2016">
              <w:rPr>
                <w:rFonts w:ascii="Times New Roman" w:hAnsi="Times New Roman" w:cs="Times New Roman"/>
                <w:sz w:val="20"/>
              </w:rPr>
              <w:t>Increase data analysis</w:t>
            </w:r>
          </w:p>
        </w:tc>
        <w:tc>
          <w:tcPr>
            <w:tcW w:w="11636" w:type="dxa"/>
            <w:gridSpan w:val="8"/>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rsidR="00CA761E" w:rsidRPr="00003598" w:rsidRDefault="00CA761E" w:rsidP="00CA761E">
            <w:pPr>
              <w:spacing w:before="120"/>
              <w:rPr>
                <w:rFonts w:ascii="Times New Roman" w:hAnsi="Times New Roman" w:cs="Times New Roman"/>
                <w:sz w:val="20"/>
                <w:highlight w:val="cyan"/>
              </w:rPr>
            </w:pPr>
            <w:r w:rsidRPr="00003598">
              <w:rPr>
                <w:rFonts w:ascii="Times New Roman" w:hAnsi="Times New Roman" w:cs="Times New Roman"/>
                <w:sz w:val="20"/>
                <w:highlight w:val="cyan"/>
              </w:rPr>
              <w:t>Develop and implement the Data Analysis by Region for Trends (DART) Program.</w:t>
            </w:r>
          </w:p>
          <w:p w:rsidR="00CA761E" w:rsidRPr="00003598" w:rsidRDefault="00CA761E" w:rsidP="00CA761E">
            <w:pPr>
              <w:pStyle w:val="ListParagraph"/>
              <w:numPr>
                <w:ilvl w:val="0"/>
                <w:numId w:val="16"/>
              </w:numPr>
              <w:rPr>
                <w:rFonts w:ascii="Times New Roman" w:hAnsi="Times New Roman" w:cs="Times New Roman"/>
                <w:sz w:val="20"/>
                <w:highlight w:val="cyan"/>
              </w:rPr>
            </w:pPr>
            <w:r w:rsidRPr="00003598">
              <w:rPr>
                <w:rFonts w:ascii="Times New Roman" w:hAnsi="Times New Roman" w:cs="Times New Roman"/>
                <w:sz w:val="20"/>
                <w:highlight w:val="cyan"/>
              </w:rPr>
              <w:t xml:space="preserve">Create an inventory of all healthcare settings in the state. Include at least one infection control point of contact at each </w:t>
            </w:r>
            <w:r w:rsidR="00D902A7" w:rsidRPr="00003598">
              <w:rPr>
                <w:rFonts w:ascii="Times New Roman" w:hAnsi="Times New Roman" w:cs="Times New Roman"/>
                <w:sz w:val="20"/>
                <w:highlight w:val="cyan"/>
              </w:rPr>
              <w:t>facility;</w:t>
            </w:r>
            <w:r w:rsidRPr="00003598">
              <w:rPr>
                <w:rFonts w:ascii="Times New Roman" w:hAnsi="Times New Roman" w:cs="Times New Roman"/>
                <w:sz w:val="20"/>
                <w:highlight w:val="cyan"/>
              </w:rPr>
              <w:t xml:space="preserve"> identify current regulatory/licensing authority for each healthcare facility</w:t>
            </w:r>
            <w:r w:rsidR="00D902A7" w:rsidRPr="00003598">
              <w:rPr>
                <w:rFonts w:ascii="Times New Roman" w:hAnsi="Times New Roman" w:cs="Times New Roman"/>
                <w:sz w:val="20"/>
                <w:highlight w:val="cyan"/>
              </w:rPr>
              <w:t>; explore obtaining infection control related regulatory survey findings.</w:t>
            </w:r>
            <w:r w:rsidRPr="00003598">
              <w:rPr>
                <w:rFonts w:ascii="Times New Roman" w:hAnsi="Times New Roman" w:cs="Times New Roman"/>
                <w:sz w:val="20"/>
                <w:highlight w:val="cyan"/>
              </w:rPr>
              <w:t xml:space="preserve">  </w:t>
            </w:r>
          </w:p>
          <w:p w:rsidR="00CA761E" w:rsidRPr="00003598" w:rsidRDefault="00CA761E" w:rsidP="00CA761E">
            <w:pPr>
              <w:pStyle w:val="ListParagraph"/>
              <w:numPr>
                <w:ilvl w:val="0"/>
                <w:numId w:val="16"/>
              </w:numPr>
              <w:rPr>
                <w:rFonts w:ascii="Times New Roman" w:hAnsi="Times New Roman" w:cs="Times New Roman"/>
                <w:sz w:val="20"/>
                <w:highlight w:val="cyan"/>
              </w:rPr>
            </w:pPr>
            <w:r w:rsidRPr="00003598">
              <w:rPr>
                <w:rFonts w:ascii="Times New Roman" w:hAnsi="Times New Roman" w:cs="Times New Roman"/>
                <w:sz w:val="20"/>
                <w:highlight w:val="cyan"/>
              </w:rPr>
              <w:t>Build capacity to analyze data reported by facilities in a defined region to allow for comprehensive assessment of potential HAI threat, and communicate results with healthcare facilities</w:t>
            </w:r>
          </w:p>
          <w:p w:rsidR="0076637F" w:rsidRDefault="00CA761E" w:rsidP="00CA761E">
            <w:pPr>
              <w:pStyle w:val="ListParagraph"/>
              <w:numPr>
                <w:ilvl w:val="0"/>
                <w:numId w:val="16"/>
              </w:numPr>
              <w:rPr>
                <w:rFonts w:ascii="Times New Roman" w:hAnsi="Times New Roman" w:cs="Times New Roman"/>
                <w:sz w:val="20"/>
              </w:rPr>
            </w:pPr>
            <w:r w:rsidRPr="00FB2016">
              <w:rPr>
                <w:rFonts w:ascii="Times New Roman" w:hAnsi="Times New Roman" w:cs="Times New Roman"/>
                <w:sz w:val="20"/>
              </w:rPr>
              <w:t>Work with federal CDC to guide analytic direction and identify facilities for prioritized assessment/response.</w:t>
            </w:r>
          </w:p>
          <w:p w:rsidR="00CA761E" w:rsidRPr="00FB2016" w:rsidRDefault="00CA761E" w:rsidP="0076637F">
            <w:pPr>
              <w:pStyle w:val="ListParagraph"/>
              <w:rPr>
                <w:rFonts w:ascii="Times New Roman" w:hAnsi="Times New Roman" w:cs="Times New Roman"/>
                <w:sz w:val="20"/>
              </w:rPr>
            </w:pPr>
          </w:p>
        </w:tc>
      </w:tr>
    </w:tbl>
    <w:p w:rsidR="00CA761E" w:rsidRDefault="00CA761E">
      <w:pPr>
        <w:rPr>
          <w:rFonts w:ascii="Times New Roman" w:hAnsi="Times New Roman" w:cs="Times New Roman"/>
        </w:rPr>
      </w:pPr>
    </w:p>
    <w:tbl>
      <w:tblPr>
        <w:tblStyle w:val="TableGrid1"/>
        <w:tblpPr w:leftFromText="187" w:rightFromText="187" w:vertAnchor="text" w:horzAnchor="margin" w:tblpY="1"/>
        <w:tblOverlap w:val="never"/>
        <w:tblW w:w="1378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1818"/>
        <w:gridCol w:w="2610"/>
        <w:gridCol w:w="3420"/>
        <w:gridCol w:w="3420"/>
        <w:gridCol w:w="2520"/>
      </w:tblGrid>
      <w:tr w:rsidR="00CA761E" w:rsidRPr="00003E7E" w:rsidTr="007B24E7">
        <w:tc>
          <w:tcPr>
            <w:tcW w:w="13788" w:type="dxa"/>
            <w:gridSpan w:val="5"/>
            <w:shd w:val="clear" w:color="auto" w:fill="B6DDE8" w:themeFill="accent5" w:themeFillTint="66"/>
          </w:tcPr>
          <w:p w:rsidR="00CA761E" w:rsidRPr="00003E7E" w:rsidRDefault="00CA761E" w:rsidP="00313DC9">
            <w:pPr>
              <w:jc w:val="center"/>
              <w:rPr>
                <w:rFonts w:ascii="Times New Roman" w:hAnsi="Times New Roman" w:cs="Times New Roman"/>
                <w:b/>
                <w:sz w:val="24"/>
              </w:rPr>
            </w:pPr>
            <w:r w:rsidRPr="007B24E7">
              <w:rPr>
                <w:rFonts w:ascii="Times New Roman" w:hAnsi="Times New Roman" w:cs="Times New Roman"/>
                <w:b/>
                <w:sz w:val="32"/>
              </w:rPr>
              <w:t>PREVENT</w:t>
            </w:r>
          </w:p>
        </w:tc>
      </w:tr>
      <w:tr w:rsidR="00CA761E" w:rsidRPr="00003E7E" w:rsidTr="007B24E7">
        <w:tc>
          <w:tcPr>
            <w:tcW w:w="1818" w:type="dxa"/>
            <w:shd w:val="clear" w:color="auto" w:fill="DAEEF3" w:themeFill="accent5" w:themeFillTint="33"/>
          </w:tcPr>
          <w:p w:rsidR="00CA761E" w:rsidRPr="00003E7E" w:rsidRDefault="00CA761E" w:rsidP="00313DC9">
            <w:pPr>
              <w:jc w:val="center"/>
              <w:rPr>
                <w:rFonts w:ascii="Times New Roman" w:hAnsi="Times New Roman" w:cs="Times New Roman"/>
                <w:b/>
                <w:sz w:val="24"/>
              </w:rPr>
            </w:pPr>
            <w:r w:rsidRPr="00003E7E">
              <w:rPr>
                <w:rFonts w:ascii="Times New Roman" w:hAnsi="Times New Roman" w:cs="Times New Roman"/>
                <w:b/>
                <w:sz w:val="24"/>
              </w:rPr>
              <w:t>Priorities</w:t>
            </w:r>
          </w:p>
        </w:tc>
        <w:tc>
          <w:tcPr>
            <w:tcW w:w="2610" w:type="dxa"/>
            <w:shd w:val="clear" w:color="auto" w:fill="DAEEF3" w:themeFill="accent5" w:themeFillTint="33"/>
          </w:tcPr>
          <w:p w:rsidR="00CA761E" w:rsidRPr="00003E7E" w:rsidRDefault="00CA761E" w:rsidP="00313DC9">
            <w:pPr>
              <w:jc w:val="center"/>
              <w:rPr>
                <w:rFonts w:ascii="Times New Roman" w:hAnsi="Times New Roman" w:cs="Times New Roman"/>
                <w:b/>
                <w:sz w:val="24"/>
              </w:rPr>
            </w:pPr>
            <w:r>
              <w:rPr>
                <w:rFonts w:ascii="Times New Roman" w:hAnsi="Times New Roman" w:cs="Times New Roman"/>
                <w:b/>
                <w:sz w:val="24"/>
              </w:rPr>
              <w:t>2015</w:t>
            </w:r>
          </w:p>
        </w:tc>
        <w:tc>
          <w:tcPr>
            <w:tcW w:w="3420" w:type="dxa"/>
            <w:shd w:val="clear" w:color="auto" w:fill="DAEEF3" w:themeFill="accent5" w:themeFillTint="33"/>
          </w:tcPr>
          <w:p w:rsidR="00CA761E" w:rsidRPr="00003E7E" w:rsidRDefault="00CA761E" w:rsidP="00313DC9">
            <w:pPr>
              <w:jc w:val="center"/>
              <w:rPr>
                <w:rFonts w:ascii="Times New Roman" w:hAnsi="Times New Roman" w:cs="Times New Roman"/>
                <w:b/>
                <w:sz w:val="24"/>
              </w:rPr>
            </w:pPr>
            <w:r>
              <w:rPr>
                <w:rFonts w:ascii="Times New Roman" w:hAnsi="Times New Roman" w:cs="Times New Roman"/>
                <w:b/>
                <w:sz w:val="24"/>
              </w:rPr>
              <w:t>2016</w:t>
            </w:r>
          </w:p>
        </w:tc>
        <w:tc>
          <w:tcPr>
            <w:tcW w:w="3420" w:type="dxa"/>
            <w:shd w:val="clear" w:color="auto" w:fill="DAEEF3" w:themeFill="accent5" w:themeFillTint="33"/>
          </w:tcPr>
          <w:p w:rsidR="00CA761E" w:rsidRPr="00003E7E" w:rsidRDefault="00CA761E" w:rsidP="00313DC9">
            <w:pPr>
              <w:jc w:val="center"/>
              <w:rPr>
                <w:rFonts w:ascii="Times New Roman" w:hAnsi="Times New Roman" w:cs="Times New Roman"/>
                <w:b/>
                <w:sz w:val="24"/>
              </w:rPr>
            </w:pPr>
            <w:r>
              <w:rPr>
                <w:rFonts w:ascii="Times New Roman" w:hAnsi="Times New Roman" w:cs="Times New Roman"/>
                <w:b/>
                <w:sz w:val="24"/>
              </w:rPr>
              <w:t>2017</w:t>
            </w:r>
          </w:p>
        </w:tc>
        <w:tc>
          <w:tcPr>
            <w:tcW w:w="2520" w:type="dxa"/>
            <w:shd w:val="clear" w:color="auto" w:fill="DAEEF3" w:themeFill="accent5" w:themeFillTint="33"/>
          </w:tcPr>
          <w:p w:rsidR="00CA761E" w:rsidRPr="00003E7E" w:rsidRDefault="00CA761E" w:rsidP="00313DC9">
            <w:pPr>
              <w:jc w:val="center"/>
              <w:rPr>
                <w:rFonts w:ascii="Times New Roman" w:hAnsi="Times New Roman" w:cs="Times New Roman"/>
                <w:b/>
                <w:sz w:val="24"/>
              </w:rPr>
            </w:pPr>
            <w:r>
              <w:rPr>
                <w:rFonts w:ascii="Times New Roman" w:hAnsi="Times New Roman" w:cs="Times New Roman"/>
                <w:b/>
                <w:sz w:val="24"/>
              </w:rPr>
              <w:t>2018</w:t>
            </w:r>
          </w:p>
        </w:tc>
      </w:tr>
      <w:tr w:rsidR="00CA761E" w:rsidRPr="002C7F49" w:rsidTr="007B24E7">
        <w:tc>
          <w:tcPr>
            <w:tcW w:w="1818" w:type="dxa"/>
            <w:vMerge w:val="restart"/>
            <w:vAlign w:val="center"/>
          </w:tcPr>
          <w:p w:rsidR="00CA761E" w:rsidRPr="00E35FE3" w:rsidRDefault="00CA761E" w:rsidP="00313DC9">
            <w:pPr>
              <w:rPr>
                <w:rFonts w:ascii="Times New Roman" w:hAnsi="Times New Roman" w:cs="Times New Roman"/>
                <w:sz w:val="20"/>
                <w:szCs w:val="20"/>
              </w:rPr>
            </w:pPr>
            <w:r>
              <w:rPr>
                <w:rFonts w:ascii="Times New Roman" w:hAnsi="Times New Roman" w:cs="Times New Roman"/>
                <w:sz w:val="20"/>
                <w:szCs w:val="20"/>
              </w:rPr>
              <w:t xml:space="preserve">Provide education, </w:t>
            </w:r>
            <w:r w:rsidRPr="00E35FE3">
              <w:rPr>
                <w:rFonts w:ascii="Times New Roman" w:hAnsi="Times New Roman" w:cs="Times New Roman"/>
                <w:sz w:val="20"/>
                <w:szCs w:val="20"/>
              </w:rPr>
              <w:t xml:space="preserve">training </w:t>
            </w:r>
            <w:r>
              <w:rPr>
                <w:rFonts w:ascii="Times New Roman" w:hAnsi="Times New Roman" w:cs="Times New Roman"/>
                <w:sz w:val="20"/>
                <w:szCs w:val="20"/>
              </w:rPr>
              <w:t>and consultation</w:t>
            </w:r>
          </w:p>
        </w:tc>
        <w:tc>
          <w:tcPr>
            <w:tcW w:w="2610" w:type="dxa"/>
          </w:tcPr>
          <w:p w:rsidR="00CA761E" w:rsidRPr="00E35FE3" w:rsidRDefault="00CA761E" w:rsidP="00313DC9">
            <w:pPr>
              <w:rPr>
                <w:rFonts w:ascii="Times New Roman" w:hAnsi="Times New Roman" w:cs="Times New Roman"/>
                <w:sz w:val="20"/>
                <w:szCs w:val="20"/>
              </w:rPr>
            </w:pPr>
            <w:r w:rsidRPr="00E35FE3">
              <w:rPr>
                <w:rFonts w:ascii="Times New Roman" w:hAnsi="Times New Roman" w:cs="Times New Roman"/>
                <w:sz w:val="20"/>
                <w:szCs w:val="20"/>
              </w:rPr>
              <w:t>Acute Care:  Education webinars targeting CLABSI, CAUTI, CDI, VAE preven</w:t>
            </w:r>
            <w:r w:rsidR="007B24E7">
              <w:rPr>
                <w:rFonts w:ascii="Times New Roman" w:hAnsi="Times New Roman" w:cs="Times New Roman"/>
                <w:sz w:val="20"/>
                <w:szCs w:val="20"/>
              </w:rPr>
              <w:softHyphen/>
            </w:r>
            <w:r w:rsidRPr="00E35FE3">
              <w:rPr>
                <w:rFonts w:ascii="Times New Roman" w:hAnsi="Times New Roman" w:cs="Times New Roman"/>
                <w:sz w:val="20"/>
                <w:szCs w:val="20"/>
              </w:rPr>
              <w:t>tion (QIN-QIO).</w:t>
            </w:r>
          </w:p>
          <w:p w:rsidR="00CA761E" w:rsidRPr="00E35FE3" w:rsidRDefault="00CA761E" w:rsidP="00313DC9">
            <w:pPr>
              <w:rPr>
                <w:rFonts w:ascii="Times New Roman" w:hAnsi="Times New Roman" w:cs="Times New Roman"/>
                <w:sz w:val="20"/>
                <w:szCs w:val="20"/>
                <w:highlight w:val="yellow"/>
              </w:rPr>
            </w:pPr>
            <w:r w:rsidRPr="00E35FE3">
              <w:rPr>
                <w:rFonts w:ascii="Times New Roman" w:hAnsi="Times New Roman" w:cs="Times New Roman"/>
                <w:sz w:val="20"/>
                <w:szCs w:val="20"/>
              </w:rPr>
              <w:t>Acute Care:  Ebola pre</w:t>
            </w:r>
            <w:r w:rsidR="007B24E7">
              <w:rPr>
                <w:rFonts w:ascii="Times New Roman" w:hAnsi="Times New Roman" w:cs="Times New Roman"/>
                <w:sz w:val="20"/>
                <w:szCs w:val="20"/>
              </w:rPr>
              <w:softHyphen/>
            </w:r>
            <w:r w:rsidRPr="00E35FE3">
              <w:rPr>
                <w:rFonts w:ascii="Times New Roman" w:hAnsi="Times New Roman" w:cs="Times New Roman"/>
                <w:sz w:val="20"/>
                <w:szCs w:val="20"/>
              </w:rPr>
              <w:t>pared</w:t>
            </w:r>
            <w:r w:rsidR="007B24E7">
              <w:rPr>
                <w:rFonts w:ascii="Times New Roman" w:hAnsi="Times New Roman" w:cs="Times New Roman"/>
                <w:sz w:val="20"/>
                <w:szCs w:val="20"/>
              </w:rPr>
              <w:softHyphen/>
            </w:r>
            <w:r w:rsidRPr="00E35FE3">
              <w:rPr>
                <w:rFonts w:ascii="Times New Roman" w:hAnsi="Times New Roman" w:cs="Times New Roman"/>
                <w:sz w:val="20"/>
                <w:szCs w:val="20"/>
              </w:rPr>
              <w:t>ness training (federal CDC)</w:t>
            </w:r>
          </w:p>
        </w:tc>
        <w:tc>
          <w:tcPr>
            <w:tcW w:w="3420" w:type="dxa"/>
          </w:tcPr>
          <w:p w:rsidR="00CA761E" w:rsidRPr="004F2EA1" w:rsidRDefault="00CA761E" w:rsidP="00313DC9">
            <w:pPr>
              <w:rPr>
                <w:rFonts w:ascii="Times New Roman" w:hAnsi="Times New Roman" w:cs="Times New Roman"/>
                <w:sz w:val="20"/>
                <w:szCs w:val="20"/>
                <w:highlight w:val="magenta"/>
              </w:rPr>
            </w:pPr>
            <w:r w:rsidRPr="004F2EA1">
              <w:rPr>
                <w:rFonts w:ascii="Times New Roman" w:hAnsi="Times New Roman" w:cs="Times New Roman"/>
                <w:sz w:val="20"/>
                <w:szCs w:val="20"/>
                <w:highlight w:val="magenta"/>
              </w:rPr>
              <w:t>Build resource list or library of various educational tools, presentations, etc. that have been created.  Share repository with healthcare facilities in state.</w:t>
            </w:r>
          </w:p>
          <w:p w:rsidR="00CA761E" w:rsidRPr="004F2EA1" w:rsidRDefault="00CA761E" w:rsidP="00313DC9">
            <w:pPr>
              <w:rPr>
                <w:rFonts w:ascii="Times New Roman" w:hAnsi="Times New Roman" w:cs="Times New Roman"/>
                <w:sz w:val="20"/>
                <w:szCs w:val="20"/>
                <w:highlight w:val="magenta"/>
              </w:rPr>
            </w:pPr>
          </w:p>
        </w:tc>
        <w:tc>
          <w:tcPr>
            <w:tcW w:w="3420" w:type="dxa"/>
          </w:tcPr>
          <w:p w:rsidR="00CA761E" w:rsidRPr="00E35FE3" w:rsidRDefault="00CA761E" w:rsidP="007B24E7">
            <w:pPr>
              <w:rPr>
                <w:rFonts w:ascii="Times New Roman" w:hAnsi="Times New Roman" w:cs="Times New Roman"/>
                <w:sz w:val="20"/>
                <w:szCs w:val="20"/>
              </w:rPr>
            </w:pPr>
            <w:r w:rsidRPr="00E35FE3">
              <w:rPr>
                <w:rFonts w:ascii="Times New Roman" w:hAnsi="Times New Roman" w:cs="Times New Roman"/>
                <w:sz w:val="20"/>
                <w:szCs w:val="20"/>
              </w:rPr>
              <w:t xml:space="preserve">Promote patient education ‘What you can do to help prevent infection’.  Explore </w:t>
            </w:r>
            <w:r>
              <w:rPr>
                <w:rFonts w:ascii="Times New Roman" w:hAnsi="Times New Roman" w:cs="Times New Roman"/>
                <w:sz w:val="20"/>
                <w:szCs w:val="20"/>
              </w:rPr>
              <w:t xml:space="preserve">media sources such as </w:t>
            </w:r>
            <w:r w:rsidRPr="00E35FE3">
              <w:rPr>
                <w:rFonts w:ascii="Times New Roman" w:hAnsi="Times New Roman" w:cs="Times New Roman"/>
                <w:sz w:val="20"/>
                <w:szCs w:val="20"/>
              </w:rPr>
              <w:t>public service announcement</w:t>
            </w:r>
            <w:r w:rsidR="00BC1E5D">
              <w:rPr>
                <w:rFonts w:ascii="Times New Roman" w:hAnsi="Times New Roman" w:cs="Times New Roman"/>
                <w:sz w:val="20"/>
                <w:szCs w:val="20"/>
              </w:rPr>
              <w:t>s</w:t>
            </w:r>
            <w:r w:rsidRPr="00E35FE3">
              <w:rPr>
                <w:rFonts w:ascii="Times New Roman" w:hAnsi="Times New Roman" w:cs="Times New Roman"/>
                <w:sz w:val="20"/>
                <w:szCs w:val="20"/>
              </w:rPr>
              <w:t xml:space="preserve">, Facebook, </w:t>
            </w:r>
            <w:r w:rsidR="007B24E7">
              <w:rPr>
                <w:rFonts w:ascii="Times New Roman" w:hAnsi="Times New Roman" w:cs="Times New Roman"/>
                <w:sz w:val="20"/>
                <w:szCs w:val="20"/>
              </w:rPr>
              <w:t>T</w:t>
            </w:r>
            <w:r w:rsidRPr="00E35FE3">
              <w:rPr>
                <w:rFonts w:ascii="Times New Roman" w:hAnsi="Times New Roman" w:cs="Times New Roman"/>
                <w:sz w:val="20"/>
                <w:szCs w:val="20"/>
              </w:rPr>
              <w:t>witter, radi</w:t>
            </w:r>
            <w:r>
              <w:rPr>
                <w:rFonts w:ascii="Times New Roman" w:hAnsi="Times New Roman" w:cs="Times New Roman"/>
                <w:sz w:val="20"/>
                <w:szCs w:val="20"/>
              </w:rPr>
              <w:t>o spots, newspaper</w:t>
            </w:r>
            <w:r w:rsidR="00BC1E5D">
              <w:rPr>
                <w:rFonts w:ascii="Times New Roman" w:hAnsi="Times New Roman" w:cs="Times New Roman"/>
                <w:sz w:val="20"/>
                <w:szCs w:val="20"/>
              </w:rPr>
              <w:t>s</w:t>
            </w:r>
            <w:r>
              <w:rPr>
                <w:rFonts w:ascii="Times New Roman" w:hAnsi="Times New Roman" w:cs="Times New Roman"/>
                <w:sz w:val="20"/>
                <w:szCs w:val="20"/>
              </w:rPr>
              <w:t xml:space="preserve">, </w:t>
            </w:r>
            <w:r w:rsidR="00BC1E5D">
              <w:rPr>
                <w:rFonts w:ascii="Times New Roman" w:hAnsi="Times New Roman" w:cs="Times New Roman"/>
                <w:sz w:val="20"/>
                <w:szCs w:val="20"/>
              </w:rPr>
              <w:t xml:space="preserve">and </w:t>
            </w:r>
            <w:r>
              <w:rPr>
                <w:rFonts w:ascii="Times New Roman" w:hAnsi="Times New Roman" w:cs="Times New Roman"/>
                <w:sz w:val="20"/>
                <w:szCs w:val="20"/>
              </w:rPr>
              <w:t>website</w:t>
            </w:r>
            <w:r w:rsidR="00BC1E5D">
              <w:rPr>
                <w:rFonts w:ascii="Times New Roman" w:hAnsi="Times New Roman" w:cs="Times New Roman"/>
                <w:sz w:val="20"/>
                <w:szCs w:val="20"/>
              </w:rPr>
              <w:t>s</w:t>
            </w:r>
            <w:r w:rsidRPr="00E35FE3">
              <w:rPr>
                <w:rFonts w:ascii="Times New Roman" w:hAnsi="Times New Roman" w:cs="Times New Roman"/>
                <w:sz w:val="20"/>
                <w:szCs w:val="20"/>
              </w:rPr>
              <w:t>.</w:t>
            </w:r>
          </w:p>
        </w:tc>
        <w:tc>
          <w:tcPr>
            <w:tcW w:w="2520" w:type="dxa"/>
          </w:tcPr>
          <w:p w:rsidR="00CA761E" w:rsidRPr="00282474" w:rsidRDefault="00CA761E" w:rsidP="00313DC9">
            <w:pPr>
              <w:ind w:left="360"/>
              <w:rPr>
                <w:rFonts w:ascii="Times New Roman" w:hAnsi="Times New Roman" w:cs="Times New Roman"/>
                <w:sz w:val="18"/>
                <w:szCs w:val="18"/>
              </w:rPr>
            </w:pPr>
          </w:p>
        </w:tc>
      </w:tr>
      <w:tr w:rsidR="00CA761E" w:rsidRPr="002C7F49" w:rsidTr="007B24E7">
        <w:tc>
          <w:tcPr>
            <w:tcW w:w="1818" w:type="dxa"/>
            <w:vMerge/>
            <w:vAlign w:val="center"/>
          </w:tcPr>
          <w:p w:rsidR="00CA761E" w:rsidRPr="00E35FE3" w:rsidRDefault="00CA761E" w:rsidP="00313DC9">
            <w:pPr>
              <w:rPr>
                <w:rFonts w:ascii="Times New Roman" w:hAnsi="Times New Roman" w:cs="Times New Roman"/>
                <w:sz w:val="20"/>
                <w:szCs w:val="20"/>
              </w:rPr>
            </w:pPr>
          </w:p>
        </w:tc>
        <w:tc>
          <w:tcPr>
            <w:tcW w:w="11970" w:type="dxa"/>
            <w:gridSpan w:val="4"/>
            <w:vAlign w:val="center"/>
          </w:tcPr>
          <w:p w:rsidR="00CA761E" w:rsidRPr="00E35FE3" w:rsidRDefault="00CA761E" w:rsidP="00313DC9">
            <w:pPr>
              <w:ind w:left="-18"/>
              <w:rPr>
                <w:rFonts w:ascii="Times New Roman" w:hAnsi="Times New Roman" w:cs="Times New Roman"/>
                <w:sz w:val="20"/>
                <w:szCs w:val="20"/>
              </w:rPr>
            </w:pPr>
            <w:r w:rsidRPr="00E35FE3">
              <w:rPr>
                <w:rFonts w:ascii="Times New Roman" w:hAnsi="Times New Roman" w:cs="Times New Roman"/>
                <w:sz w:val="20"/>
                <w:szCs w:val="20"/>
              </w:rPr>
              <w:t>Offer Infection Preventionist mentorship program (PTC-APIC)</w:t>
            </w:r>
          </w:p>
        </w:tc>
      </w:tr>
      <w:tr w:rsidR="00CA761E" w:rsidRPr="002C7F49" w:rsidTr="007B24E7">
        <w:tc>
          <w:tcPr>
            <w:tcW w:w="1818" w:type="dxa"/>
            <w:vMerge/>
            <w:vAlign w:val="center"/>
          </w:tcPr>
          <w:p w:rsidR="00CA761E" w:rsidRPr="00E35FE3" w:rsidRDefault="00CA761E" w:rsidP="00313DC9">
            <w:pPr>
              <w:rPr>
                <w:rFonts w:ascii="Times New Roman" w:hAnsi="Times New Roman" w:cs="Times New Roman"/>
                <w:sz w:val="20"/>
                <w:szCs w:val="20"/>
              </w:rPr>
            </w:pPr>
          </w:p>
        </w:tc>
        <w:tc>
          <w:tcPr>
            <w:tcW w:w="2610" w:type="dxa"/>
          </w:tcPr>
          <w:p w:rsidR="00CA761E" w:rsidRPr="00E35FE3" w:rsidRDefault="00CA761E" w:rsidP="00313DC9">
            <w:pPr>
              <w:rPr>
                <w:rFonts w:ascii="Times New Roman" w:hAnsi="Times New Roman" w:cs="Times New Roman"/>
                <w:b/>
                <w:sz w:val="20"/>
                <w:szCs w:val="20"/>
                <w:highlight w:val="yellow"/>
              </w:rPr>
            </w:pPr>
          </w:p>
        </w:tc>
        <w:tc>
          <w:tcPr>
            <w:tcW w:w="6840" w:type="dxa"/>
            <w:gridSpan w:val="2"/>
          </w:tcPr>
          <w:p w:rsidR="00CA761E" w:rsidRPr="00E35FE3" w:rsidRDefault="00CA761E" w:rsidP="00313DC9">
            <w:pPr>
              <w:rPr>
                <w:rFonts w:ascii="Times New Roman" w:hAnsi="Times New Roman" w:cs="Times New Roman"/>
                <w:sz w:val="20"/>
                <w:szCs w:val="20"/>
              </w:rPr>
            </w:pPr>
            <w:r w:rsidRPr="004F2EA1">
              <w:rPr>
                <w:rFonts w:ascii="Times New Roman" w:hAnsi="Times New Roman" w:cs="Times New Roman"/>
                <w:sz w:val="20"/>
                <w:szCs w:val="20"/>
                <w:highlight w:val="magenta"/>
              </w:rPr>
              <w:t>Explore logistics of holding a bi-annual HAI prevention conference in 2016 or 2017.  Explore partnership to host conference with PTC-APIC and/or the six New England states with potential public participation.</w:t>
            </w:r>
          </w:p>
        </w:tc>
        <w:tc>
          <w:tcPr>
            <w:tcW w:w="2520" w:type="dxa"/>
          </w:tcPr>
          <w:p w:rsidR="00CA761E" w:rsidRPr="00282474" w:rsidRDefault="00CA761E" w:rsidP="00313DC9">
            <w:pPr>
              <w:rPr>
                <w:rFonts w:ascii="Times New Roman" w:hAnsi="Times New Roman" w:cs="Times New Roman"/>
                <w:sz w:val="18"/>
                <w:szCs w:val="18"/>
              </w:rPr>
            </w:pPr>
          </w:p>
        </w:tc>
      </w:tr>
      <w:tr w:rsidR="00CA761E" w:rsidRPr="002C7F49" w:rsidTr="00BC1E5D">
        <w:tc>
          <w:tcPr>
            <w:tcW w:w="1818" w:type="dxa"/>
            <w:vMerge/>
            <w:vAlign w:val="center"/>
          </w:tcPr>
          <w:p w:rsidR="00CA761E" w:rsidRPr="00E35FE3" w:rsidRDefault="00CA761E" w:rsidP="00313DC9">
            <w:pPr>
              <w:rPr>
                <w:rFonts w:ascii="Times New Roman" w:hAnsi="Times New Roman" w:cs="Times New Roman"/>
                <w:sz w:val="20"/>
                <w:szCs w:val="20"/>
              </w:rPr>
            </w:pPr>
          </w:p>
        </w:tc>
        <w:tc>
          <w:tcPr>
            <w:tcW w:w="2610" w:type="dxa"/>
          </w:tcPr>
          <w:p w:rsidR="00CA761E" w:rsidRPr="00E35FE3" w:rsidRDefault="00CA761E" w:rsidP="00313DC9">
            <w:pPr>
              <w:rPr>
                <w:rFonts w:ascii="Times New Roman" w:hAnsi="Times New Roman" w:cs="Times New Roman"/>
                <w:b/>
                <w:sz w:val="20"/>
                <w:szCs w:val="20"/>
                <w:highlight w:val="yellow"/>
              </w:rPr>
            </w:pPr>
          </w:p>
        </w:tc>
        <w:tc>
          <w:tcPr>
            <w:tcW w:w="3420" w:type="dxa"/>
          </w:tcPr>
          <w:p w:rsidR="00CA761E" w:rsidRPr="004F2EA1" w:rsidRDefault="00CA761E" w:rsidP="00BC1E5D">
            <w:pPr>
              <w:rPr>
                <w:rFonts w:ascii="Times New Roman" w:hAnsi="Times New Roman" w:cs="Times New Roman"/>
                <w:sz w:val="20"/>
                <w:szCs w:val="20"/>
                <w:highlight w:val="magenta"/>
              </w:rPr>
            </w:pPr>
            <w:r w:rsidRPr="004F2EA1">
              <w:rPr>
                <w:rFonts w:ascii="Times New Roman" w:hAnsi="Times New Roman" w:cs="Times New Roman"/>
                <w:sz w:val="20"/>
                <w:szCs w:val="20"/>
                <w:highlight w:val="magenta"/>
              </w:rPr>
              <w:t xml:space="preserve">Explore Infection Prevention and Control staffing capacity levels. </w:t>
            </w:r>
          </w:p>
          <w:p w:rsidR="00CA761E" w:rsidRPr="00E35FE3" w:rsidRDefault="00CA761E" w:rsidP="00BC1E5D">
            <w:pPr>
              <w:spacing w:before="60"/>
              <w:rPr>
                <w:rFonts w:ascii="Times New Roman" w:hAnsi="Times New Roman" w:cs="Times New Roman"/>
                <w:sz w:val="20"/>
                <w:szCs w:val="20"/>
              </w:rPr>
            </w:pPr>
            <w:r w:rsidRPr="004F2EA1">
              <w:rPr>
                <w:rFonts w:ascii="Times New Roman" w:hAnsi="Times New Roman" w:cs="Times New Roman"/>
                <w:sz w:val="20"/>
                <w:szCs w:val="20"/>
                <w:highlight w:val="magenta"/>
              </w:rPr>
              <w:t>Explore infection control and prevention competency as part of licensing or credentialing for providers.</w:t>
            </w:r>
          </w:p>
        </w:tc>
        <w:tc>
          <w:tcPr>
            <w:tcW w:w="5940" w:type="dxa"/>
            <w:gridSpan w:val="2"/>
            <w:shd w:val="clear" w:color="auto" w:fill="FFFFFF" w:themeFill="background1"/>
          </w:tcPr>
          <w:p w:rsidR="00CA761E" w:rsidRPr="00E35FE3" w:rsidRDefault="00CA761E" w:rsidP="00313DC9">
            <w:pPr>
              <w:rPr>
                <w:rFonts w:ascii="Times New Roman" w:hAnsi="Times New Roman" w:cs="Times New Roman"/>
                <w:sz w:val="20"/>
                <w:szCs w:val="20"/>
                <w:u w:val="single"/>
              </w:rPr>
            </w:pPr>
            <w:r w:rsidRPr="00E35FE3">
              <w:rPr>
                <w:rFonts w:ascii="Times New Roman" w:hAnsi="Times New Roman" w:cs="Times New Roman"/>
                <w:sz w:val="20"/>
                <w:szCs w:val="20"/>
                <w:u w:val="single"/>
              </w:rPr>
              <w:t xml:space="preserve">Extended Care Areas for Focus:  </w:t>
            </w:r>
          </w:p>
          <w:p w:rsidR="00CA761E" w:rsidRPr="00B3302A" w:rsidRDefault="00CA761E" w:rsidP="007B24E7">
            <w:pPr>
              <w:pStyle w:val="ListParagraph"/>
              <w:numPr>
                <w:ilvl w:val="0"/>
                <w:numId w:val="17"/>
              </w:numPr>
              <w:ind w:left="432" w:hanging="252"/>
              <w:rPr>
                <w:rFonts w:ascii="Times New Roman" w:hAnsi="Times New Roman" w:cs="Times New Roman"/>
                <w:sz w:val="20"/>
                <w:szCs w:val="20"/>
              </w:rPr>
            </w:pPr>
            <w:r w:rsidRPr="00E35FE3">
              <w:rPr>
                <w:rFonts w:ascii="Times New Roman" w:hAnsi="Times New Roman" w:cs="Times New Roman"/>
                <w:sz w:val="20"/>
                <w:szCs w:val="20"/>
              </w:rPr>
              <w:t>Enhance understanding of differences between acute and long term care environments</w:t>
            </w:r>
            <w:r>
              <w:rPr>
                <w:rFonts w:ascii="Times New Roman" w:hAnsi="Times New Roman" w:cs="Times New Roman"/>
                <w:sz w:val="20"/>
                <w:szCs w:val="20"/>
              </w:rPr>
              <w:t>, including  p</w:t>
            </w:r>
            <w:r w:rsidRPr="00B3302A">
              <w:rPr>
                <w:rFonts w:ascii="Times New Roman" w:hAnsi="Times New Roman" w:cs="Times New Roman"/>
                <w:sz w:val="20"/>
                <w:szCs w:val="20"/>
              </w:rPr>
              <w:t>atient and fami</w:t>
            </w:r>
            <w:r>
              <w:rPr>
                <w:rFonts w:ascii="Times New Roman" w:hAnsi="Times New Roman" w:cs="Times New Roman"/>
                <w:sz w:val="20"/>
                <w:szCs w:val="20"/>
              </w:rPr>
              <w:t>ly education</w:t>
            </w:r>
          </w:p>
          <w:p w:rsidR="00CA761E" w:rsidRPr="00E35FE3" w:rsidRDefault="00CA761E" w:rsidP="007B24E7">
            <w:pPr>
              <w:pStyle w:val="ListParagraph"/>
              <w:numPr>
                <w:ilvl w:val="0"/>
                <w:numId w:val="17"/>
              </w:numPr>
              <w:ind w:left="432" w:hanging="252"/>
              <w:rPr>
                <w:rFonts w:ascii="Times New Roman" w:hAnsi="Times New Roman" w:cs="Times New Roman"/>
                <w:sz w:val="20"/>
                <w:szCs w:val="20"/>
              </w:rPr>
            </w:pPr>
            <w:r w:rsidRPr="00E35FE3">
              <w:rPr>
                <w:rFonts w:ascii="Times New Roman" w:hAnsi="Times New Roman" w:cs="Times New Roman"/>
                <w:sz w:val="20"/>
                <w:szCs w:val="20"/>
              </w:rPr>
              <w:t>MDROs in long term care – recognition and management</w:t>
            </w:r>
          </w:p>
          <w:p w:rsidR="00CA761E" w:rsidRPr="00E35FE3" w:rsidRDefault="00CA761E" w:rsidP="007B24E7">
            <w:pPr>
              <w:pStyle w:val="ListParagraph"/>
              <w:numPr>
                <w:ilvl w:val="0"/>
                <w:numId w:val="17"/>
              </w:numPr>
              <w:ind w:left="432" w:hanging="252"/>
              <w:rPr>
                <w:rFonts w:ascii="Times New Roman" w:hAnsi="Times New Roman" w:cs="Times New Roman"/>
                <w:sz w:val="20"/>
                <w:szCs w:val="20"/>
              </w:rPr>
            </w:pPr>
            <w:r w:rsidRPr="00E35FE3">
              <w:rPr>
                <w:rFonts w:ascii="Times New Roman" w:hAnsi="Times New Roman" w:cs="Times New Roman"/>
                <w:sz w:val="20"/>
                <w:szCs w:val="20"/>
              </w:rPr>
              <w:t>Accessibility to hand washing equipment/hand sanitizer &amp; PPE</w:t>
            </w:r>
          </w:p>
          <w:p w:rsidR="00CA761E" w:rsidRPr="00E35FE3" w:rsidRDefault="00CA761E" w:rsidP="007B24E7">
            <w:pPr>
              <w:pStyle w:val="ListParagraph"/>
              <w:numPr>
                <w:ilvl w:val="0"/>
                <w:numId w:val="17"/>
              </w:numPr>
              <w:ind w:left="432" w:hanging="252"/>
              <w:rPr>
                <w:rFonts w:ascii="Times New Roman" w:hAnsi="Times New Roman" w:cs="Times New Roman"/>
                <w:sz w:val="20"/>
                <w:szCs w:val="20"/>
              </w:rPr>
            </w:pPr>
            <w:r w:rsidRPr="00E35FE3">
              <w:rPr>
                <w:rFonts w:ascii="Times New Roman" w:hAnsi="Times New Roman" w:cs="Times New Roman"/>
                <w:sz w:val="20"/>
                <w:szCs w:val="20"/>
              </w:rPr>
              <w:t>IC issues with shared bathrooms, etc.</w:t>
            </w:r>
          </w:p>
        </w:tc>
      </w:tr>
      <w:tr w:rsidR="00CA761E" w:rsidRPr="002C7F49" w:rsidTr="007B24E7">
        <w:tc>
          <w:tcPr>
            <w:tcW w:w="1818" w:type="dxa"/>
            <w:vMerge w:val="restart"/>
            <w:vAlign w:val="center"/>
          </w:tcPr>
          <w:p w:rsidR="00CA761E" w:rsidRPr="00E35FE3" w:rsidRDefault="00CA761E" w:rsidP="00313DC9">
            <w:pPr>
              <w:rPr>
                <w:rFonts w:ascii="Times New Roman" w:hAnsi="Times New Roman" w:cs="Times New Roman"/>
                <w:sz w:val="20"/>
                <w:szCs w:val="20"/>
              </w:rPr>
            </w:pPr>
            <w:r w:rsidRPr="00E35FE3">
              <w:rPr>
                <w:rFonts w:ascii="Times New Roman" w:hAnsi="Times New Roman" w:cs="Times New Roman"/>
                <w:sz w:val="20"/>
                <w:szCs w:val="20"/>
              </w:rPr>
              <w:t>Engage in infection prevention activities.</w:t>
            </w:r>
          </w:p>
        </w:tc>
        <w:tc>
          <w:tcPr>
            <w:tcW w:w="2610" w:type="dxa"/>
          </w:tcPr>
          <w:p w:rsidR="00CA761E" w:rsidRPr="00E35FE3" w:rsidRDefault="00CA761E" w:rsidP="00313DC9">
            <w:pPr>
              <w:rPr>
                <w:rFonts w:ascii="Times New Roman" w:hAnsi="Times New Roman" w:cs="Times New Roman"/>
                <w:color w:val="FF0000"/>
                <w:sz w:val="20"/>
                <w:szCs w:val="20"/>
              </w:rPr>
            </w:pPr>
          </w:p>
        </w:tc>
        <w:tc>
          <w:tcPr>
            <w:tcW w:w="9360" w:type="dxa"/>
            <w:gridSpan w:val="3"/>
          </w:tcPr>
          <w:p w:rsidR="00CA761E" w:rsidRPr="00003598" w:rsidRDefault="00CA761E" w:rsidP="00313DC9">
            <w:pPr>
              <w:rPr>
                <w:rFonts w:ascii="Times New Roman" w:hAnsi="Times New Roman" w:cs="Times New Roman"/>
                <w:sz w:val="20"/>
                <w:szCs w:val="20"/>
                <w:highlight w:val="cyan"/>
              </w:rPr>
            </w:pPr>
            <w:r w:rsidRPr="00003598">
              <w:rPr>
                <w:rFonts w:ascii="Times New Roman" w:hAnsi="Times New Roman" w:cs="Times New Roman"/>
                <w:sz w:val="20"/>
                <w:szCs w:val="20"/>
                <w:highlight w:val="cyan"/>
              </w:rPr>
              <w:t xml:space="preserve">Develop and implement Infection Control Assessment and Promotion (ICAP) Program.  </w:t>
            </w:r>
          </w:p>
          <w:p w:rsidR="00CA761E" w:rsidRPr="00003598" w:rsidRDefault="00CA761E" w:rsidP="007B24E7">
            <w:pPr>
              <w:pStyle w:val="ListParagraph"/>
              <w:numPr>
                <w:ilvl w:val="0"/>
                <w:numId w:val="17"/>
              </w:numPr>
              <w:ind w:left="522" w:hanging="252"/>
              <w:rPr>
                <w:rFonts w:ascii="Times New Roman" w:hAnsi="Times New Roman" w:cs="Times New Roman"/>
                <w:sz w:val="20"/>
                <w:szCs w:val="20"/>
                <w:highlight w:val="cyan"/>
              </w:rPr>
            </w:pPr>
            <w:r w:rsidRPr="00003598">
              <w:rPr>
                <w:rFonts w:ascii="Times New Roman" w:hAnsi="Times New Roman" w:cs="Times New Roman"/>
                <w:sz w:val="20"/>
                <w:szCs w:val="20"/>
                <w:highlight w:val="cyan"/>
              </w:rPr>
              <w:t xml:space="preserve">Based on data from the DART Program, perform targeted assessments in infection prevention and control at healthcare facilities.  </w:t>
            </w:r>
          </w:p>
          <w:p w:rsidR="00CA761E" w:rsidRPr="00E35FE3" w:rsidRDefault="00CA761E" w:rsidP="007B24E7">
            <w:pPr>
              <w:pStyle w:val="ListParagraph"/>
              <w:numPr>
                <w:ilvl w:val="0"/>
                <w:numId w:val="17"/>
              </w:numPr>
              <w:ind w:left="522" w:hanging="252"/>
              <w:rPr>
                <w:rFonts w:ascii="Times New Roman" w:hAnsi="Times New Roman" w:cs="Times New Roman"/>
                <w:sz w:val="20"/>
                <w:szCs w:val="20"/>
              </w:rPr>
            </w:pPr>
            <w:r w:rsidRPr="00E35FE3">
              <w:rPr>
                <w:rFonts w:ascii="Times New Roman" w:hAnsi="Times New Roman" w:cs="Times New Roman"/>
                <w:sz w:val="20"/>
                <w:szCs w:val="20"/>
              </w:rPr>
              <w:t xml:space="preserve">Identify gaps and work through the HAI advisory council for state/region mitigation planning. </w:t>
            </w:r>
          </w:p>
          <w:p w:rsidR="001D0313" w:rsidRPr="001D0313" w:rsidRDefault="00CA761E" w:rsidP="001D0313">
            <w:pPr>
              <w:pStyle w:val="ListParagraph"/>
              <w:numPr>
                <w:ilvl w:val="0"/>
                <w:numId w:val="17"/>
              </w:numPr>
              <w:ind w:left="522" w:hanging="252"/>
              <w:rPr>
                <w:rFonts w:ascii="Times New Roman" w:hAnsi="Times New Roman" w:cs="Times New Roman"/>
                <w:sz w:val="20"/>
                <w:szCs w:val="20"/>
              </w:rPr>
            </w:pPr>
            <w:r w:rsidRPr="00E35FE3">
              <w:rPr>
                <w:rFonts w:ascii="Times New Roman" w:hAnsi="Times New Roman" w:cs="Times New Roman"/>
                <w:sz w:val="20"/>
                <w:szCs w:val="20"/>
              </w:rPr>
              <w:t>Implement a response plan to address potential emerging threats identified by using enhanced surveillance.</w:t>
            </w:r>
          </w:p>
        </w:tc>
      </w:tr>
      <w:tr w:rsidR="00CA761E" w:rsidRPr="002C7F49" w:rsidTr="007B24E7">
        <w:trPr>
          <w:trHeight w:val="450"/>
        </w:trPr>
        <w:tc>
          <w:tcPr>
            <w:tcW w:w="1818" w:type="dxa"/>
            <w:vMerge/>
            <w:vAlign w:val="center"/>
          </w:tcPr>
          <w:p w:rsidR="00CA761E" w:rsidRPr="00E35FE3" w:rsidRDefault="00CA761E" w:rsidP="00313DC9">
            <w:pPr>
              <w:rPr>
                <w:rFonts w:ascii="Times New Roman" w:hAnsi="Times New Roman" w:cs="Times New Roman"/>
                <w:sz w:val="20"/>
                <w:szCs w:val="20"/>
              </w:rPr>
            </w:pPr>
          </w:p>
        </w:tc>
        <w:tc>
          <w:tcPr>
            <w:tcW w:w="11970" w:type="dxa"/>
            <w:gridSpan w:val="4"/>
            <w:vAlign w:val="center"/>
          </w:tcPr>
          <w:p w:rsidR="00CA761E" w:rsidRPr="00E35FE3" w:rsidRDefault="00CA761E" w:rsidP="007B24E7">
            <w:pPr>
              <w:rPr>
                <w:rFonts w:ascii="Times New Roman" w:hAnsi="Times New Roman" w:cs="Times New Roman"/>
                <w:sz w:val="20"/>
                <w:szCs w:val="20"/>
              </w:rPr>
            </w:pPr>
            <w:r w:rsidRPr="007B24E7">
              <w:rPr>
                <w:rFonts w:ascii="Times New Roman" w:hAnsi="Times New Roman" w:cs="Times New Roman"/>
                <w:sz w:val="20"/>
                <w:szCs w:val="20"/>
              </w:rPr>
              <w:t>Acute Care</w:t>
            </w:r>
            <w:r w:rsidR="007B24E7" w:rsidRPr="007B24E7">
              <w:rPr>
                <w:rFonts w:ascii="Times New Roman" w:hAnsi="Times New Roman" w:cs="Times New Roman"/>
                <w:sz w:val="20"/>
                <w:szCs w:val="20"/>
              </w:rPr>
              <w:t xml:space="preserve">:  </w:t>
            </w:r>
            <w:r w:rsidRPr="007B24E7">
              <w:rPr>
                <w:rFonts w:ascii="Times New Roman" w:hAnsi="Times New Roman" w:cs="Times New Roman"/>
                <w:sz w:val="20"/>
                <w:szCs w:val="20"/>
              </w:rPr>
              <w:t>Collaborative</w:t>
            </w:r>
            <w:r w:rsidRPr="00E35FE3">
              <w:rPr>
                <w:rFonts w:ascii="Times New Roman" w:hAnsi="Times New Roman" w:cs="Times New Roman"/>
                <w:sz w:val="20"/>
                <w:szCs w:val="20"/>
              </w:rPr>
              <w:t xml:space="preserve"> programs hosted by Healthcentric Advisors [QIN-QIO], to reduce HAIs related to CLABSI, CAUTI, CDI, and VAE.</w:t>
            </w:r>
          </w:p>
        </w:tc>
      </w:tr>
      <w:tr w:rsidR="00CA761E" w:rsidRPr="002C7F49" w:rsidTr="007B24E7">
        <w:tc>
          <w:tcPr>
            <w:tcW w:w="1818" w:type="dxa"/>
            <w:vMerge w:val="restart"/>
            <w:vAlign w:val="center"/>
          </w:tcPr>
          <w:p w:rsidR="00CA761E" w:rsidRPr="00E35FE3" w:rsidRDefault="00CA761E" w:rsidP="00313DC9">
            <w:pPr>
              <w:rPr>
                <w:rFonts w:ascii="Times New Roman" w:hAnsi="Times New Roman" w:cs="Times New Roman"/>
                <w:sz w:val="20"/>
                <w:szCs w:val="20"/>
              </w:rPr>
            </w:pPr>
            <w:r w:rsidRPr="00E35FE3">
              <w:rPr>
                <w:rFonts w:ascii="Times New Roman" w:hAnsi="Times New Roman" w:cs="Times New Roman"/>
                <w:sz w:val="20"/>
                <w:szCs w:val="20"/>
              </w:rPr>
              <w:t>Expand a</w:t>
            </w:r>
            <w:r>
              <w:rPr>
                <w:rFonts w:ascii="Times New Roman" w:hAnsi="Times New Roman" w:cs="Times New Roman"/>
                <w:sz w:val="20"/>
                <w:szCs w:val="20"/>
              </w:rPr>
              <w:t>ntimicrobial stewardship</w:t>
            </w:r>
          </w:p>
        </w:tc>
        <w:tc>
          <w:tcPr>
            <w:tcW w:w="2610" w:type="dxa"/>
            <w:shd w:val="clear" w:color="auto" w:fill="FFFFFF" w:themeFill="background1"/>
            <w:vAlign w:val="center"/>
          </w:tcPr>
          <w:p w:rsidR="00CA761E" w:rsidRPr="00E35FE3" w:rsidRDefault="00CA761E" w:rsidP="00313DC9">
            <w:pPr>
              <w:rPr>
                <w:rFonts w:ascii="Times New Roman" w:hAnsi="Times New Roman" w:cs="Times New Roman"/>
                <w:sz w:val="20"/>
                <w:szCs w:val="20"/>
              </w:rPr>
            </w:pPr>
            <w:r w:rsidRPr="00E35FE3">
              <w:rPr>
                <w:rFonts w:ascii="Times New Roman" w:hAnsi="Times New Roman" w:cs="Times New Roman"/>
                <w:sz w:val="20"/>
                <w:szCs w:val="20"/>
              </w:rPr>
              <w:t>AMS education module and academic detailing continues for provider practices (MICIS).</w:t>
            </w:r>
          </w:p>
        </w:tc>
        <w:tc>
          <w:tcPr>
            <w:tcW w:w="9360" w:type="dxa"/>
            <w:gridSpan w:val="3"/>
            <w:vAlign w:val="center"/>
          </w:tcPr>
          <w:p w:rsidR="00CA761E" w:rsidRPr="000F6278" w:rsidRDefault="00CA761E" w:rsidP="00313DC9">
            <w:pPr>
              <w:rPr>
                <w:rFonts w:ascii="Times New Roman" w:hAnsi="Times New Roman" w:cs="Times New Roman"/>
                <w:sz w:val="20"/>
                <w:szCs w:val="20"/>
                <w:highlight w:val="yellow"/>
              </w:rPr>
            </w:pPr>
            <w:r w:rsidRPr="000F6278">
              <w:rPr>
                <w:rFonts w:ascii="Times New Roman" w:hAnsi="Times New Roman" w:cs="Times New Roman"/>
                <w:sz w:val="20"/>
                <w:szCs w:val="20"/>
                <w:highlight w:val="yellow"/>
              </w:rPr>
              <w:t xml:space="preserve">Engage HAI advisory council in developing state action plan for improving antibiotic usage in state. </w:t>
            </w:r>
          </w:p>
          <w:p w:rsidR="00CA761E" w:rsidRPr="000F6278" w:rsidRDefault="00CA761E" w:rsidP="007B24E7">
            <w:pPr>
              <w:pStyle w:val="ListParagraph"/>
              <w:numPr>
                <w:ilvl w:val="0"/>
                <w:numId w:val="17"/>
              </w:numPr>
              <w:ind w:left="522" w:hanging="252"/>
              <w:rPr>
                <w:rFonts w:ascii="Times New Roman" w:hAnsi="Times New Roman" w:cs="Times New Roman"/>
                <w:sz w:val="20"/>
                <w:szCs w:val="20"/>
                <w:highlight w:val="yellow"/>
              </w:rPr>
            </w:pPr>
            <w:r w:rsidRPr="000F6278">
              <w:rPr>
                <w:rFonts w:ascii="Times New Roman" w:hAnsi="Times New Roman" w:cs="Times New Roman"/>
                <w:sz w:val="20"/>
                <w:szCs w:val="20"/>
                <w:highlight w:val="yellow"/>
              </w:rPr>
              <w:t xml:space="preserve">Begin with survey of healthcare facilities AMS surveillance programs.  </w:t>
            </w:r>
          </w:p>
          <w:p w:rsidR="00CA761E" w:rsidRPr="00003598" w:rsidRDefault="00CA761E" w:rsidP="007B24E7">
            <w:pPr>
              <w:pStyle w:val="ListParagraph"/>
              <w:numPr>
                <w:ilvl w:val="0"/>
                <w:numId w:val="17"/>
              </w:numPr>
              <w:ind w:left="522" w:hanging="252"/>
              <w:rPr>
                <w:rFonts w:ascii="Times New Roman" w:hAnsi="Times New Roman" w:cs="Times New Roman"/>
                <w:sz w:val="20"/>
                <w:szCs w:val="20"/>
              </w:rPr>
            </w:pPr>
            <w:r w:rsidRPr="00003598">
              <w:rPr>
                <w:rFonts w:ascii="Times New Roman" w:hAnsi="Times New Roman" w:cs="Times New Roman"/>
                <w:sz w:val="20"/>
                <w:szCs w:val="20"/>
              </w:rPr>
              <w:t>Explore impact of antibiotic shortage issues on AMS recommendations.</w:t>
            </w:r>
          </w:p>
          <w:p w:rsidR="00CA761E" w:rsidRPr="00E35FE3" w:rsidRDefault="00CA761E" w:rsidP="007B24E7">
            <w:pPr>
              <w:pStyle w:val="ListParagraph"/>
              <w:numPr>
                <w:ilvl w:val="0"/>
                <w:numId w:val="17"/>
              </w:numPr>
              <w:ind w:left="522" w:hanging="252"/>
              <w:rPr>
                <w:rFonts w:ascii="Times New Roman" w:hAnsi="Times New Roman" w:cs="Times New Roman"/>
                <w:sz w:val="20"/>
                <w:szCs w:val="20"/>
              </w:rPr>
            </w:pPr>
            <w:r w:rsidRPr="00003598">
              <w:rPr>
                <w:rFonts w:ascii="Times New Roman" w:hAnsi="Times New Roman" w:cs="Times New Roman"/>
                <w:sz w:val="20"/>
                <w:szCs w:val="20"/>
              </w:rPr>
              <w:t>Explore best practices for patient education that a specimen for culture obtained, results, and dosage of antibiotic regimen, if necessary.   Choosing Wisely campaign materials may be useful.</w:t>
            </w:r>
          </w:p>
        </w:tc>
      </w:tr>
      <w:tr w:rsidR="00CA761E" w:rsidRPr="002C7F49" w:rsidTr="007B24E7">
        <w:tc>
          <w:tcPr>
            <w:tcW w:w="1818" w:type="dxa"/>
            <w:vMerge/>
            <w:vAlign w:val="center"/>
          </w:tcPr>
          <w:p w:rsidR="00CA761E" w:rsidRPr="00E35FE3" w:rsidRDefault="00CA761E" w:rsidP="00313DC9">
            <w:pPr>
              <w:rPr>
                <w:rFonts w:ascii="Times New Roman" w:hAnsi="Times New Roman" w:cs="Times New Roman"/>
                <w:sz w:val="20"/>
                <w:szCs w:val="20"/>
              </w:rPr>
            </w:pPr>
          </w:p>
        </w:tc>
        <w:tc>
          <w:tcPr>
            <w:tcW w:w="2610" w:type="dxa"/>
            <w:vAlign w:val="center"/>
          </w:tcPr>
          <w:p w:rsidR="00CA761E" w:rsidRPr="00E35FE3" w:rsidRDefault="00CA761E" w:rsidP="00313DC9">
            <w:pPr>
              <w:rPr>
                <w:rFonts w:ascii="Times New Roman" w:hAnsi="Times New Roman" w:cs="Times New Roman"/>
                <w:sz w:val="20"/>
                <w:szCs w:val="20"/>
              </w:rPr>
            </w:pPr>
          </w:p>
        </w:tc>
        <w:tc>
          <w:tcPr>
            <w:tcW w:w="9360" w:type="dxa"/>
            <w:gridSpan w:val="3"/>
            <w:vAlign w:val="center"/>
          </w:tcPr>
          <w:p w:rsidR="00CA761E" w:rsidRPr="003A5441" w:rsidRDefault="00CA761E" w:rsidP="00313DC9">
            <w:pPr>
              <w:rPr>
                <w:rFonts w:ascii="Times New Roman" w:hAnsi="Times New Roman" w:cs="Times New Roman"/>
                <w:sz w:val="20"/>
                <w:szCs w:val="20"/>
              </w:rPr>
            </w:pPr>
            <w:r w:rsidRPr="00E35FE3">
              <w:rPr>
                <w:rFonts w:ascii="Times New Roman" w:hAnsi="Times New Roman" w:cs="Times New Roman"/>
                <w:sz w:val="20"/>
                <w:szCs w:val="20"/>
              </w:rPr>
              <w:t>Promote Get Smart About Antibiotics Week (November) through public service announcement</w:t>
            </w:r>
            <w:r>
              <w:rPr>
                <w:rFonts w:ascii="Times New Roman" w:hAnsi="Times New Roman" w:cs="Times New Roman"/>
                <w:sz w:val="20"/>
                <w:szCs w:val="20"/>
              </w:rPr>
              <w:t>s and media.</w:t>
            </w:r>
          </w:p>
        </w:tc>
      </w:tr>
      <w:tr w:rsidR="00CA761E" w:rsidRPr="002C7F49" w:rsidTr="007B24E7">
        <w:tc>
          <w:tcPr>
            <w:tcW w:w="1818" w:type="dxa"/>
            <w:vMerge/>
            <w:vAlign w:val="center"/>
          </w:tcPr>
          <w:p w:rsidR="00CA761E" w:rsidRPr="00E35FE3" w:rsidRDefault="00CA761E" w:rsidP="00313DC9">
            <w:pPr>
              <w:rPr>
                <w:rFonts w:ascii="Times New Roman" w:hAnsi="Times New Roman" w:cs="Times New Roman"/>
                <w:sz w:val="20"/>
                <w:szCs w:val="20"/>
              </w:rPr>
            </w:pPr>
          </w:p>
        </w:tc>
        <w:tc>
          <w:tcPr>
            <w:tcW w:w="2610" w:type="dxa"/>
            <w:vAlign w:val="center"/>
          </w:tcPr>
          <w:p w:rsidR="00CA761E" w:rsidRPr="00E35FE3" w:rsidRDefault="00CA761E" w:rsidP="00313DC9">
            <w:pPr>
              <w:rPr>
                <w:rFonts w:ascii="Times New Roman" w:hAnsi="Times New Roman" w:cs="Times New Roman"/>
                <w:sz w:val="20"/>
                <w:szCs w:val="20"/>
              </w:rPr>
            </w:pPr>
          </w:p>
        </w:tc>
        <w:tc>
          <w:tcPr>
            <w:tcW w:w="6840" w:type="dxa"/>
            <w:gridSpan w:val="2"/>
            <w:vAlign w:val="center"/>
          </w:tcPr>
          <w:p w:rsidR="00CA761E" w:rsidRPr="00C9591F" w:rsidRDefault="00CA761E" w:rsidP="00313DC9">
            <w:pPr>
              <w:rPr>
                <w:rFonts w:ascii="Times New Roman" w:hAnsi="Times New Roman" w:cs="Times New Roman"/>
                <w:b/>
                <w:sz w:val="20"/>
                <w:szCs w:val="20"/>
                <w:highlight w:val="magenta"/>
              </w:rPr>
            </w:pPr>
            <w:r w:rsidRPr="00915433">
              <w:rPr>
                <w:rFonts w:ascii="Times New Roman" w:hAnsi="Times New Roman" w:cs="Times New Roman"/>
                <w:sz w:val="20"/>
                <w:szCs w:val="20"/>
              </w:rPr>
              <w:t>State public health laboratory (HETL) to roll out study with clinical laboratories to conduct DNA analysis on isolates of multidrug resistant organisms (e.g. MRSA, VRE, CRE and VISA) in order to determine the resistance genes most frequently seen in Maine.  The next class of antibiotics will target these resistance genes in bacteria.</w:t>
            </w:r>
            <w:r w:rsidRPr="00915433">
              <w:rPr>
                <w:rFonts w:ascii="Times New Roman" w:hAnsi="Times New Roman" w:cs="Times New Roman"/>
                <w:b/>
                <w:sz w:val="20"/>
                <w:szCs w:val="20"/>
              </w:rPr>
              <w:t xml:space="preserve">  </w:t>
            </w:r>
            <w:r w:rsidRPr="00915433">
              <w:rPr>
                <w:rFonts w:ascii="Times New Roman" w:hAnsi="Times New Roman" w:cs="Times New Roman"/>
                <w:sz w:val="20"/>
                <w:szCs w:val="20"/>
              </w:rPr>
              <w:t>Share the findings with providers.</w:t>
            </w:r>
          </w:p>
        </w:tc>
        <w:tc>
          <w:tcPr>
            <w:tcW w:w="2520" w:type="dxa"/>
            <w:vAlign w:val="center"/>
          </w:tcPr>
          <w:p w:rsidR="00CA761E" w:rsidRPr="00282474" w:rsidRDefault="00CA761E" w:rsidP="00313DC9">
            <w:pPr>
              <w:rPr>
                <w:rFonts w:ascii="Times New Roman" w:hAnsi="Times New Roman" w:cs="Times New Roman"/>
                <w:sz w:val="18"/>
                <w:szCs w:val="18"/>
              </w:rPr>
            </w:pPr>
          </w:p>
        </w:tc>
      </w:tr>
    </w:tbl>
    <w:p w:rsidR="00CA761E" w:rsidRDefault="00CA761E">
      <w:pPr>
        <w:rPr>
          <w:rFonts w:ascii="Times New Roman" w:hAnsi="Times New Roman" w:cs="Times New Roman"/>
        </w:rPr>
      </w:pPr>
    </w:p>
    <w:p w:rsidR="006D3D44" w:rsidRPr="002C7F49" w:rsidRDefault="006D3D44" w:rsidP="00212134">
      <w:pPr>
        <w:framePr w:w="13406" w:wrap="notBeside" w:vAnchor="text" w:hAnchor="page" w:x="937" w:y="2701"/>
        <w:rPr>
          <w:rFonts w:ascii="Times New Roman" w:hAnsi="Times New Roman" w:cs="Times New Roman"/>
          <w:b/>
          <w:sz w:val="18"/>
          <w:szCs w:val="18"/>
        </w:rPr>
        <w:sectPr w:rsidR="006D3D44" w:rsidRPr="002C7F49" w:rsidSect="00E35FE3">
          <w:headerReference w:type="even" r:id="rId16"/>
          <w:headerReference w:type="default" r:id="rId17"/>
          <w:footerReference w:type="default" r:id="rId18"/>
          <w:headerReference w:type="first" r:id="rId19"/>
          <w:pgSz w:w="15840" w:h="12240" w:orient="landscape"/>
          <w:pgMar w:top="1440" w:right="1080" w:bottom="1440" w:left="1080" w:header="990" w:footer="720" w:gutter="0"/>
          <w:cols w:space="720"/>
          <w:docGrid w:linePitch="360"/>
        </w:sectPr>
      </w:pPr>
    </w:p>
    <w:p w:rsidR="00BC1E5D" w:rsidRPr="001B3216" w:rsidRDefault="00BC1E5D" w:rsidP="00BC1E5D">
      <w:pPr>
        <w:spacing w:after="120" w:line="240" w:lineRule="auto"/>
        <w:rPr>
          <w:b/>
          <w:sz w:val="28"/>
          <w:szCs w:val="28"/>
        </w:rPr>
      </w:pPr>
      <w:r>
        <w:rPr>
          <w:b/>
          <w:sz w:val="28"/>
          <w:szCs w:val="28"/>
        </w:rPr>
        <w:t>Appendix A:  Maine HAI Collaborating Partners Membership</w:t>
      </w:r>
    </w:p>
    <w:tbl>
      <w:tblPr>
        <w:tblStyle w:val="TableGrid"/>
        <w:tblW w:w="8848" w:type="dxa"/>
        <w:tblInd w:w="-10" w:type="dxa"/>
        <w:tblLook w:val="04A0" w:firstRow="1" w:lastRow="0" w:firstColumn="1" w:lastColumn="0" w:noHBand="0" w:noVBand="1"/>
      </w:tblPr>
      <w:tblGrid>
        <w:gridCol w:w="3070"/>
        <w:gridCol w:w="2430"/>
        <w:gridCol w:w="3348"/>
      </w:tblGrid>
      <w:tr w:rsidR="00BC1E5D" w:rsidRPr="00F621CD" w:rsidTr="00BC1E5D">
        <w:tc>
          <w:tcPr>
            <w:tcW w:w="30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b/>
                <w:szCs w:val="20"/>
              </w:rPr>
            </w:pPr>
            <w:r w:rsidRPr="00F621CD">
              <w:rPr>
                <w:b/>
                <w:szCs w:val="20"/>
              </w:rPr>
              <w:t>Organization</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b/>
                <w:szCs w:val="20"/>
              </w:rPr>
            </w:pPr>
            <w:r w:rsidRPr="00F621CD">
              <w:rPr>
                <w:b/>
                <w:szCs w:val="20"/>
              </w:rPr>
              <w:t>Representative</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b/>
                <w:szCs w:val="20"/>
              </w:rPr>
            </w:pPr>
            <w:r w:rsidRPr="00F621CD">
              <w:rPr>
                <w:b/>
                <w:szCs w:val="20"/>
              </w:rPr>
              <w:t>Title</w:t>
            </w:r>
          </w:p>
        </w:tc>
      </w:tr>
      <w:tr w:rsidR="00BC1E5D" w:rsidRPr="00F621CD" w:rsidTr="00BC1E5D">
        <w:tc>
          <w:tcPr>
            <w:tcW w:w="30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APIC-P</w:t>
            </w:r>
            <w:r>
              <w:rPr>
                <w:sz w:val="20"/>
                <w:szCs w:val="20"/>
              </w:rPr>
              <w:t>ine Tree Chapter</w:t>
            </w:r>
            <w:r>
              <w:rPr>
                <w:sz w:val="20"/>
                <w:szCs w:val="20"/>
              </w:rPr>
              <w:br/>
            </w:r>
            <w:r w:rsidRPr="00F621CD">
              <w:rPr>
                <w:sz w:val="20"/>
                <w:szCs w:val="20"/>
              </w:rPr>
              <w:t>Acute Care, IPPS facility</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Gwen Rogers</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Infection Preventionist</w:t>
            </w:r>
          </w:p>
          <w:p w:rsidR="00BC1E5D" w:rsidRPr="00F621CD" w:rsidRDefault="00BC1E5D" w:rsidP="00313DC9">
            <w:pPr>
              <w:rPr>
                <w:sz w:val="20"/>
                <w:szCs w:val="20"/>
              </w:rPr>
            </w:pPr>
            <w:r w:rsidRPr="00F621CD">
              <w:rPr>
                <w:sz w:val="20"/>
                <w:szCs w:val="20"/>
              </w:rPr>
              <w:t>Maine Medical Center</w:t>
            </w:r>
          </w:p>
        </w:tc>
      </w:tr>
      <w:tr w:rsidR="00BC1E5D" w:rsidRPr="00F621CD" w:rsidTr="00BC1E5D">
        <w:tc>
          <w:tcPr>
            <w:tcW w:w="30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APIC- P</w:t>
            </w:r>
            <w:r>
              <w:rPr>
                <w:sz w:val="20"/>
                <w:szCs w:val="20"/>
              </w:rPr>
              <w:t>ine Tree Chapter</w:t>
            </w:r>
            <w:r>
              <w:rPr>
                <w:sz w:val="20"/>
                <w:szCs w:val="20"/>
              </w:rPr>
              <w:br/>
            </w:r>
            <w:r w:rsidRPr="00F621CD">
              <w:rPr>
                <w:sz w:val="20"/>
                <w:szCs w:val="20"/>
              </w:rPr>
              <w:t>Acute Care, CAH facility</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Ann Graves</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Infection Preventionist</w:t>
            </w:r>
          </w:p>
          <w:p w:rsidR="00BC1E5D" w:rsidRPr="00F621CD" w:rsidRDefault="00BC1E5D" w:rsidP="00313DC9">
            <w:pPr>
              <w:rPr>
                <w:sz w:val="20"/>
                <w:szCs w:val="20"/>
              </w:rPr>
            </w:pPr>
            <w:r w:rsidRPr="00F621CD">
              <w:rPr>
                <w:sz w:val="20"/>
                <w:szCs w:val="20"/>
              </w:rPr>
              <w:t>Waldo County General Hospital</w:t>
            </w:r>
          </w:p>
        </w:tc>
      </w:tr>
      <w:tr w:rsidR="00BC1E5D" w:rsidRPr="00F621CD" w:rsidTr="00BC1E5D">
        <w:tc>
          <w:tcPr>
            <w:tcW w:w="30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Maine Healthcare Association, LTC</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Lynn Johnston</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Infection Preventionist</w:t>
            </w:r>
          </w:p>
          <w:p w:rsidR="00BC1E5D" w:rsidRPr="00F621CD" w:rsidRDefault="00BC1E5D" w:rsidP="00313DC9">
            <w:pPr>
              <w:rPr>
                <w:sz w:val="20"/>
                <w:szCs w:val="20"/>
              </w:rPr>
            </w:pPr>
            <w:r w:rsidRPr="00F621CD">
              <w:rPr>
                <w:sz w:val="20"/>
                <w:szCs w:val="20"/>
              </w:rPr>
              <w:t>Maine Veterans’ Home</w:t>
            </w:r>
          </w:p>
        </w:tc>
      </w:tr>
      <w:tr w:rsidR="00BC1E5D" w:rsidRPr="00F621CD" w:rsidTr="00BC1E5D">
        <w:tc>
          <w:tcPr>
            <w:tcW w:w="30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Home Health Representative</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Bob Abel*</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Chief Nursing Officer</w:t>
            </w:r>
          </w:p>
          <w:p w:rsidR="00BC1E5D" w:rsidRPr="00F621CD" w:rsidRDefault="00BC1E5D" w:rsidP="00313DC9">
            <w:pPr>
              <w:rPr>
                <w:sz w:val="20"/>
                <w:szCs w:val="20"/>
              </w:rPr>
            </w:pPr>
            <w:r w:rsidRPr="00F621CD">
              <w:rPr>
                <w:sz w:val="20"/>
                <w:szCs w:val="20"/>
              </w:rPr>
              <w:t>Home Health Visiting Nurses</w:t>
            </w:r>
          </w:p>
        </w:tc>
      </w:tr>
      <w:tr w:rsidR="00BC1E5D" w:rsidRPr="00F621CD" w:rsidTr="00BC1E5D">
        <w:trPr>
          <w:trHeight w:val="459"/>
        </w:trPr>
        <w:tc>
          <w:tcPr>
            <w:tcW w:w="3070" w:type="dxa"/>
            <w:tcBorders>
              <w:top w:val="single" w:sz="8" w:space="0" w:color="BFBFBF" w:themeColor="background1" w:themeShade="BF"/>
              <w:left w:val="nil"/>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 xml:space="preserve">Ambulatory Surgery </w:t>
            </w:r>
            <w:r w:rsidRPr="00F621CD">
              <w:rPr>
                <w:sz w:val="20"/>
                <w:szCs w:val="20"/>
              </w:rPr>
              <w:br/>
              <w:t>Center Representative</w:t>
            </w:r>
          </w:p>
        </w:tc>
        <w:tc>
          <w:tcPr>
            <w:tcW w:w="2430" w:type="dxa"/>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FFFF" w:themeFill="background1"/>
            <w:vAlign w:val="center"/>
          </w:tcPr>
          <w:p w:rsidR="00BC1E5D" w:rsidRPr="00F621CD" w:rsidRDefault="00BC1E5D" w:rsidP="00313DC9">
            <w:pPr>
              <w:rPr>
                <w:sz w:val="20"/>
                <w:szCs w:val="20"/>
              </w:rPr>
            </w:pPr>
            <w:r w:rsidRPr="00F621CD">
              <w:rPr>
                <w:sz w:val="20"/>
                <w:szCs w:val="20"/>
              </w:rPr>
              <w:t>Linda Ruterbories</w:t>
            </w:r>
          </w:p>
        </w:tc>
        <w:tc>
          <w:tcPr>
            <w:tcW w:w="3348" w:type="dxa"/>
            <w:tcBorders>
              <w:top w:val="single" w:sz="8" w:space="0" w:color="BFBFBF" w:themeColor="background1" w:themeShade="BF"/>
              <w:left w:val="single" w:sz="8" w:space="0" w:color="BFBFBF" w:themeColor="background1" w:themeShade="BF"/>
              <w:right w:val="nil"/>
            </w:tcBorders>
            <w:shd w:val="clear" w:color="auto" w:fill="FFFFFF" w:themeFill="background1"/>
            <w:vAlign w:val="center"/>
          </w:tcPr>
          <w:p w:rsidR="00BC1E5D" w:rsidRPr="00F621CD" w:rsidRDefault="00BC1E5D" w:rsidP="00313DC9">
            <w:pPr>
              <w:rPr>
                <w:sz w:val="20"/>
                <w:szCs w:val="20"/>
              </w:rPr>
            </w:pPr>
            <w:r w:rsidRPr="00F621CD">
              <w:rPr>
                <w:sz w:val="20"/>
                <w:szCs w:val="20"/>
              </w:rPr>
              <w:t>Director Program Development</w:t>
            </w:r>
          </w:p>
          <w:p w:rsidR="00BC1E5D" w:rsidRPr="00F621CD" w:rsidRDefault="00BC1E5D" w:rsidP="00313DC9">
            <w:pPr>
              <w:rPr>
                <w:sz w:val="20"/>
                <w:szCs w:val="20"/>
              </w:rPr>
            </w:pPr>
            <w:r w:rsidRPr="00F621CD">
              <w:rPr>
                <w:sz w:val="20"/>
                <w:szCs w:val="20"/>
              </w:rPr>
              <w:t>OA Centers for Orthopaedics</w:t>
            </w:r>
          </w:p>
        </w:tc>
      </w:tr>
      <w:tr w:rsidR="00BC1E5D" w:rsidRPr="00F621CD" w:rsidTr="00BC1E5D">
        <w:tc>
          <w:tcPr>
            <w:tcW w:w="3070" w:type="dxa"/>
            <w:vMerge w:val="restart"/>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Maine CDC</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Dr. Siiri Bennett</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State Epidemiologist</w:t>
            </w:r>
          </w:p>
        </w:tc>
      </w:tr>
      <w:tr w:rsidR="00BC1E5D" w:rsidRPr="00F621CD" w:rsidTr="00BC1E5D">
        <w:tc>
          <w:tcPr>
            <w:tcW w:w="3070" w:type="dxa"/>
            <w:vMerge/>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Rita Owsiak</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HAI Coordinator</w:t>
            </w:r>
          </w:p>
        </w:tc>
      </w:tr>
      <w:tr w:rsidR="00BC1E5D" w:rsidRPr="00F621CD" w:rsidTr="00BC1E5D">
        <w:tc>
          <w:tcPr>
            <w:tcW w:w="30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M</w:t>
            </w:r>
            <w:r>
              <w:rPr>
                <w:sz w:val="20"/>
                <w:szCs w:val="20"/>
              </w:rPr>
              <w:t>aine Hospital Association</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Sandy Parker</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VP &amp; General Counsel</w:t>
            </w:r>
          </w:p>
        </w:tc>
      </w:tr>
      <w:tr w:rsidR="00BC1E5D" w:rsidRPr="00F621CD" w:rsidTr="00BC1E5D">
        <w:tc>
          <w:tcPr>
            <w:tcW w:w="30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M</w:t>
            </w:r>
            <w:r>
              <w:rPr>
                <w:sz w:val="20"/>
                <w:szCs w:val="20"/>
              </w:rPr>
              <w:t xml:space="preserve">aine Quality Forum </w:t>
            </w:r>
            <w:r w:rsidRPr="00F621CD">
              <w:rPr>
                <w:sz w:val="20"/>
                <w:szCs w:val="20"/>
              </w:rPr>
              <w:t>/</w:t>
            </w:r>
            <w:r>
              <w:rPr>
                <w:sz w:val="20"/>
                <w:szCs w:val="20"/>
              </w:rPr>
              <w:t xml:space="preserve"> </w:t>
            </w:r>
            <w:r>
              <w:rPr>
                <w:sz w:val="20"/>
                <w:szCs w:val="20"/>
              </w:rPr>
              <w:br/>
            </w:r>
            <w:r w:rsidRPr="00F621CD">
              <w:rPr>
                <w:sz w:val="20"/>
                <w:szCs w:val="20"/>
              </w:rPr>
              <w:t>M</w:t>
            </w:r>
            <w:r>
              <w:rPr>
                <w:sz w:val="20"/>
                <w:szCs w:val="20"/>
              </w:rPr>
              <w:t xml:space="preserve">aine </w:t>
            </w:r>
            <w:r w:rsidRPr="00F621CD">
              <w:rPr>
                <w:sz w:val="20"/>
                <w:szCs w:val="20"/>
              </w:rPr>
              <w:t>H</w:t>
            </w:r>
            <w:r>
              <w:rPr>
                <w:sz w:val="20"/>
                <w:szCs w:val="20"/>
              </w:rPr>
              <w:t xml:space="preserve">ealth </w:t>
            </w:r>
            <w:r w:rsidRPr="00F621CD">
              <w:rPr>
                <w:sz w:val="20"/>
                <w:szCs w:val="20"/>
              </w:rPr>
              <w:t>D</w:t>
            </w:r>
            <w:r>
              <w:rPr>
                <w:sz w:val="20"/>
                <w:szCs w:val="20"/>
              </w:rPr>
              <w:t xml:space="preserve">ata </w:t>
            </w:r>
            <w:r w:rsidRPr="00F621CD">
              <w:rPr>
                <w:sz w:val="20"/>
                <w:szCs w:val="20"/>
              </w:rPr>
              <w:t>O</w:t>
            </w:r>
            <w:r>
              <w:rPr>
                <w:sz w:val="20"/>
                <w:szCs w:val="20"/>
              </w:rPr>
              <w:t>rganization</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Karynlee Harrington</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Executive Director</w:t>
            </w:r>
          </w:p>
        </w:tc>
      </w:tr>
      <w:tr w:rsidR="00BC1E5D" w:rsidRPr="00F621CD" w:rsidTr="00BC1E5D">
        <w:tc>
          <w:tcPr>
            <w:tcW w:w="30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Healthcentric Advisors (QIN-QIO)</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Danielle Hersey</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Acting State Director</w:t>
            </w:r>
          </w:p>
          <w:p w:rsidR="00BC1E5D" w:rsidRPr="00F621CD" w:rsidRDefault="00BC1E5D" w:rsidP="00313DC9">
            <w:pPr>
              <w:rPr>
                <w:sz w:val="20"/>
                <w:szCs w:val="20"/>
              </w:rPr>
            </w:pPr>
            <w:r w:rsidRPr="00F621CD">
              <w:rPr>
                <w:sz w:val="20"/>
                <w:szCs w:val="20"/>
              </w:rPr>
              <w:t>Hospital Coordinator</w:t>
            </w:r>
          </w:p>
        </w:tc>
      </w:tr>
      <w:tr w:rsidR="00BC1E5D" w:rsidRPr="00F621CD" w:rsidTr="00BC1E5D">
        <w:tc>
          <w:tcPr>
            <w:tcW w:w="30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Husson Univ</w:t>
            </w:r>
            <w:r>
              <w:rPr>
                <w:sz w:val="20"/>
                <w:szCs w:val="20"/>
              </w:rPr>
              <w:t>.</w:t>
            </w:r>
            <w:r w:rsidRPr="00F621CD">
              <w:rPr>
                <w:sz w:val="20"/>
                <w:szCs w:val="20"/>
              </w:rPr>
              <w:t xml:space="preserve"> School of Pharmacy / </w:t>
            </w:r>
            <w:r>
              <w:rPr>
                <w:sz w:val="20"/>
                <w:szCs w:val="20"/>
              </w:rPr>
              <w:br/>
            </w:r>
            <w:r w:rsidRPr="00F621CD">
              <w:rPr>
                <w:sz w:val="20"/>
                <w:szCs w:val="20"/>
              </w:rPr>
              <w:t>Eastern Maine Medical Center</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rFonts w:ascii="Calibri" w:hAnsi="Calibri"/>
                <w:color w:val="000000" w:themeColor="text1"/>
                <w:sz w:val="20"/>
                <w:szCs w:val="20"/>
              </w:rPr>
              <w:t>Anthony Casapao, PharmD</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 xml:space="preserve">Assistant Professor / Infectious </w:t>
            </w:r>
            <w:r>
              <w:rPr>
                <w:sz w:val="20"/>
                <w:szCs w:val="20"/>
              </w:rPr>
              <w:br/>
            </w:r>
            <w:r w:rsidRPr="00F621CD">
              <w:rPr>
                <w:sz w:val="20"/>
                <w:szCs w:val="20"/>
              </w:rPr>
              <w:t>Disease Clinical Pharmacy Specialist</w:t>
            </w:r>
          </w:p>
        </w:tc>
      </w:tr>
      <w:tr w:rsidR="00BC1E5D" w:rsidRPr="00F621CD" w:rsidTr="00BC1E5D">
        <w:tc>
          <w:tcPr>
            <w:tcW w:w="3070" w:type="dxa"/>
            <w:vMerge w:val="restart"/>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 xml:space="preserve">Maine Society of Health </w:t>
            </w:r>
            <w:r w:rsidRPr="00F621CD">
              <w:rPr>
                <w:sz w:val="20"/>
                <w:szCs w:val="20"/>
              </w:rPr>
              <w:br/>
              <w:t>Systems Pharmacists</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Tyson Thornton</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Director of Pharmacy</w:t>
            </w:r>
          </w:p>
          <w:p w:rsidR="00BC1E5D" w:rsidRPr="00F621CD" w:rsidRDefault="00BC1E5D" w:rsidP="00313DC9">
            <w:pPr>
              <w:rPr>
                <w:sz w:val="20"/>
                <w:szCs w:val="20"/>
              </w:rPr>
            </w:pPr>
            <w:r w:rsidRPr="00F621CD">
              <w:rPr>
                <w:sz w:val="20"/>
                <w:szCs w:val="20"/>
              </w:rPr>
              <w:t>Sebasticook Valley Hospital</w:t>
            </w:r>
          </w:p>
        </w:tc>
      </w:tr>
      <w:tr w:rsidR="00BC1E5D" w:rsidRPr="00F621CD" w:rsidTr="00BC1E5D">
        <w:tc>
          <w:tcPr>
            <w:tcW w:w="3070" w:type="dxa"/>
            <w:vMerge/>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 xml:space="preserve">Frank Mack </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Pharmacist, Mercy Hospital</w:t>
            </w:r>
          </w:p>
        </w:tc>
      </w:tr>
      <w:tr w:rsidR="00BC1E5D" w:rsidRPr="00F621CD" w:rsidTr="00BC1E5D">
        <w:tc>
          <w:tcPr>
            <w:tcW w:w="3070" w:type="dxa"/>
            <w:vMerge w:val="restart"/>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Laboratory</w:t>
            </w:r>
            <w:r>
              <w:rPr>
                <w:sz w:val="20"/>
                <w:szCs w:val="20"/>
              </w:rPr>
              <w:t xml:space="preserve"> Representatives</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Rick Danforth</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Pr>
                <w:sz w:val="20"/>
                <w:szCs w:val="20"/>
              </w:rPr>
              <w:t xml:space="preserve">Maine </w:t>
            </w:r>
            <w:r w:rsidRPr="00F621CD">
              <w:rPr>
                <w:sz w:val="20"/>
                <w:szCs w:val="20"/>
              </w:rPr>
              <w:t xml:space="preserve">Health and Environmental Testing Laboratory:  </w:t>
            </w:r>
          </w:p>
        </w:tc>
      </w:tr>
      <w:tr w:rsidR="00BC1E5D" w:rsidRPr="00F621CD" w:rsidTr="00BC1E5D">
        <w:trPr>
          <w:trHeight w:val="508"/>
        </w:trPr>
        <w:tc>
          <w:tcPr>
            <w:tcW w:w="3070" w:type="dxa"/>
            <w:vMerge/>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p>
        </w:tc>
        <w:tc>
          <w:tcPr>
            <w:tcW w:w="2430" w:type="dxa"/>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Cathy Dragoni</w:t>
            </w:r>
          </w:p>
        </w:tc>
        <w:tc>
          <w:tcPr>
            <w:tcW w:w="3348" w:type="dxa"/>
            <w:tcBorders>
              <w:top w:val="single" w:sz="8" w:space="0" w:color="BFBFBF" w:themeColor="background1" w:themeShade="BF"/>
              <w:left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NorD</w:t>
            </w:r>
            <w:r>
              <w:rPr>
                <w:sz w:val="20"/>
                <w:szCs w:val="20"/>
              </w:rPr>
              <w:t>x</w:t>
            </w:r>
          </w:p>
        </w:tc>
      </w:tr>
      <w:tr w:rsidR="00BC1E5D" w:rsidRPr="00F621CD" w:rsidTr="00BC1E5D">
        <w:tc>
          <w:tcPr>
            <w:tcW w:w="3070" w:type="dxa"/>
            <w:vMerge w:val="restart"/>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Healthcare Systems and Districts</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Dr. Jay Reynolds</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Administration</w:t>
            </w:r>
          </w:p>
        </w:tc>
      </w:tr>
      <w:tr w:rsidR="00BC1E5D" w:rsidRPr="00F621CD" w:rsidTr="00BC1E5D">
        <w:tc>
          <w:tcPr>
            <w:tcW w:w="3070" w:type="dxa"/>
            <w:vMerge/>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Dr. August Valenti</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Infectious Disease Physician</w:t>
            </w:r>
          </w:p>
          <w:p w:rsidR="00BC1E5D" w:rsidRPr="00F621CD" w:rsidRDefault="00BC1E5D" w:rsidP="00313DC9">
            <w:pPr>
              <w:rPr>
                <w:sz w:val="20"/>
                <w:szCs w:val="20"/>
              </w:rPr>
            </w:pPr>
            <w:r w:rsidRPr="00F621CD">
              <w:rPr>
                <w:sz w:val="20"/>
                <w:szCs w:val="20"/>
              </w:rPr>
              <w:t>Maine Medical Center</w:t>
            </w:r>
          </w:p>
        </w:tc>
      </w:tr>
      <w:tr w:rsidR="00BC1E5D" w:rsidRPr="00F621CD" w:rsidTr="00BC1E5D">
        <w:tc>
          <w:tcPr>
            <w:tcW w:w="3070" w:type="dxa"/>
            <w:vMerge/>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Dr. Sandy Harris</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Infectious Disease Physician</w:t>
            </w:r>
          </w:p>
          <w:p w:rsidR="00BC1E5D" w:rsidRPr="00F621CD" w:rsidRDefault="00BC1E5D" w:rsidP="00313DC9">
            <w:pPr>
              <w:rPr>
                <w:sz w:val="20"/>
                <w:szCs w:val="20"/>
              </w:rPr>
            </w:pPr>
            <w:r w:rsidRPr="00F621CD">
              <w:rPr>
                <w:sz w:val="20"/>
                <w:szCs w:val="20"/>
              </w:rPr>
              <w:t>St. Mary’s Regional Medical Center</w:t>
            </w:r>
          </w:p>
        </w:tc>
      </w:tr>
      <w:tr w:rsidR="00BC1E5D" w:rsidRPr="00F621CD" w:rsidTr="00BC1E5D">
        <w:tc>
          <w:tcPr>
            <w:tcW w:w="3070" w:type="dxa"/>
            <w:vMerge/>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 xml:space="preserve">Dr. Josh Cutler </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Physician, Maine Medical Center</w:t>
            </w:r>
          </w:p>
        </w:tc>
      </w:tr>
      <w:tr w:rsidR="00BC1E5D" w:rsidRPr="00F621CD" w:rsidTr="00BC1E5D">
        <w:tc>
          <w:tcPr>
            <w:tcW w:w="30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OMNE – Nursing Leaders of ME</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Bob Abel*</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Chief Nursing Officer</w:t>
            </w:r>
          </w:p>
          <w:p w:rsidR="00BC1E5D" w:rsidRPr="00F621CD" w:rsidRDefault="00BC1E5D" w:rsidP="00313DC9">
            <w:pPr>
              <w:rPr>
                <w:sz w:val="20"/>
                <w:szCs w:val="20"/>
              </w:rPr>
            </w:pPr>
            <w:r w:rsidRPr="00F621CD">
              <w:rPr>
                <w:sz w:val="20"/>
                <w:szCs w:val="20"/>
              </w:rPr>
              <w:t>Home Health Visiting Nurses</w:t>
            </w:r>
          </w:p>
        </w:tc>
      </w:tr>
      <w:tr w:rsidR="00BC1E5D" w:rsidRPr="00F621CD" w:rsidTr="00BC1E5D">
        <w:tc>
          <w:tcPr>
            <w:tcW w:w="30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Consumers for Affordable Healthcare</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Emily Brostek</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Executive Director</w:t>
            </w:r>
          </w:p>
        </w:tc>
      </w:tr>
      <w:tr w:rsidR="00BC1E5D" w:rsidRPr="00F621CD" w:rsidTr="00BC1E5D">
        <w:tc>
          <w:tcPr>
            <w:tcW w:w="30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 xml:space="preserve">Consumer </w:t>
            </w:r>
            <w:r>
              <w:rPr>
                <w:sz w:val="20"/>
                <w:szCs w:val="20"/>
              </w:rPr>
              <w:t>Representative</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Kathy Day</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Consumer Advocate</w:t>
            </w:r>
          </w:p>
        </w:tc>
      </w:tr>
      <w:tr w:rsidR="00BC1E5D" w:rsidRPr="00F621CD" w:rsidTr="00BC1E5D">
        <w:tc>
          <w:tcPr>
            <w:tcW w:w="30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State of Maine: Public Health Emergency Preparedness</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William Jenkins</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 xml:space="preserve">Director </w:t>
            </w:r>
            <w:r>
              <w:rPr>
                <w:sz w:val="20"/>
                <w:szCs w:val="20"/>
              </w:rPr>
              <w:t xml:space="preserve">Office of </w:t>
            </w:r>
            <w:r w:rsidRPr="00F621CD">
              <w:rPr>
                <w:sz w:val="20"/>
                <w:szCs w:val="20"/>
              </w:rPr>
              <w:t>Public Health Emergency Preparedness</w:t>
            </w:r>
            <w:r>
              <w:rPr>
                <w:sz w:val="20"/>
                <w:szCs w:val="20"/>
              </w:rPr>
              <w:t xml:space="preserve">, </w:t>
            </w:r>
            <w:r w:rsidRPr="00F621CD">
              <w:rPr>
                <w:sz w:val="20"/>
                <w:szCs w:val="20"/>
              </w:rPr>
              <w:t>Maine CDC</w:t>
            </w:r>
          </w:p>
        </w:tc>
      </w:tr>
      <w:tr w:rsidR="00BC1E5D" w:rsidRPr="00F621CD" w:rsidTr="00BC1E5D">
        <w:tc>
          <w:tcPr>
            <w:tcW w:w="30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 xml:space="preserve">State of Maine:  Division of </w:t>
            </w:r>
            <w:r w:rsidRPr="00F621CD">
              <w:rPr>
                <w:sz w:val="20"/>
                <w:szCs w:val="20"/>
              </w:rPr>
              <w:br/>
              <w:t>Licensing  &amp; Regulatory Services</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Dale Payne</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Health Surveyor</w:t>
            </w:r>
          </w:p>
          <w:p w:rsidR="00BC1E5D" w:rsidRPr="00F621CD" w:rsidRDefault="00BC1E5D" w:rsidP="00313DC9">
            <w:pPr>
              <w:rPr>
                <w:sz w:val="20"/>
                <w:szCs w:val="20"/>
              </w:rPr>
            </w:pPr>
            <w:r w:rsidRPr="00F621CD">
              <w:rPr>
                <w:sz w:val="20"/>
                <w:szCs w:val="20"/>
              </w:rPr>
              <w:t>Maine DHHS</w:t>
            </w:r>
          </w:p>
        </w:tc>
      </w:tr>
      <w:tr w:rsidR="00BC1E5D" w:rsidRPr="00F621CD" w:rsidTr="00BC1E5D">
        <w:tc>
          <w:tcPr>
            <w:tcW w:w="3070" w:type="dxa"/>
            <w:vMerge w:val="restart"/>
            <w:tcBorders>
              <w:top w:val="single" w:sz="8" w:space="0" w:color="BFBFBF" w:themeColor="background1" w:themeShade="BF"/>
              <w:left w:val="nil"/>
              <w:right w:val="single" w:sz="8" w:space="0" w:color="BFBFBF" w:themeColor="background1" w:themeShade="BF"/>
            </w:tcBorders>
            <w:vAlign w:val="center"/>
          </w:tcPr>
          <w:p w:rsidR="00BC1E5D" w:rsidRPr="00F621CD" w:rsidRDefault="00BC1E5D" w:rsidP="00313DC9">
            <w:pPr>
              <w:rPr>
                <w:sz w:val="20"/>
                <w:szCs w:val="20"/>
              </w:rPr>
            </w:pPr>
            <w:r>
              <w:rPr>
                <w:sz w:val="20"/>
                <w:szCs w:val="20"/>
              </w:rPr>
              <w:t xml:space="preserve">Committee </w:t>
            </w:r>
            <w:r w:rsidRPr="00F621CD">
              <w:rPr>
                <w:sz w:val="20"/>
                <w:szCs w:val="20"/>
              </w:rPr>
              <w:t>Staff</w:t>
            </w: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Rita Owsiak</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Maine CDC HAI Program Coordinator</w:t>
            </w:r>
          </w:p>
        </w:tc>
      </w:tr>
      <w:tr w:rsidR="00BC1E5D" w:rsidRPr="00F621CD" w:rsidTr="00BC1E5D">
        <w:tc>
          <w:tcPr>
            <w:tcW w:w="3070" w:type="dxa"/>
            <w:vMerge/>
            <w:tcBorders>
              <w:left w:val="nil"/>
              <w:right w:val="single" w:sz="8" w:space="0" w:color="BFBFBF" w:themeColor="background1" w:themeShade="BF"/>
            </w:tcBorders>
            <w:vAlign w:val="center"/>
          </w:tcPr>
          <w:p w:rsidR="00BC1E5D" w:rsidRPr="00F621CD" w:rsidRDefault="00BC1E5D" w:rsidP="00313DC9">
            <w:pPr>
              <w:rPr>
                <w:sz w:val="20"/>
                <w:szCs w:val="20"/>
              </w:rPr>
            </w:pP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Paul Livingston</w:t>
            </w:r>
          </w:p>
        </w:tc>
        <w:tc>
          <w:tcPr>
            <w:tcW w:w="334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Maine CDC</w:t>
            </w:r>
          </w:p>
        </w:tc>
      </w:tr>
      <w:tr w:rsidR="00BC1E5D" w:rsidRPr="00F621CD" w:rsidTr="00BC1E5D">
        <w:tc>
          <w:tcPr>
            <w:tcW w:w="3070" w:type="dxa"/>
            <w:vMerge/>
            <w:tcBorders>
              <w:left w:val="nil"/>
              <w:right w:val="single" w:sz="8" w:space="0" w:color="BFBFBF" w:themeColor="background1" w:themeShade="BF"/>
            </w:tcBorders>
            <w:vAlign w:val="center"/>
          </w:tcPr>
          <w:p w:rsidR="00BC1E5D" w:rsidRPr="00F621CD" w:rsidRDefault="00BC1E5D" w:rsidP="00313DC9">
            <w:pPr>
              <w:rPr>
                <w:sz w:val="20"/>
                <w:szCs w:val="20"/>
              </w:rPr>
            </w:pP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Stuart Bratesman</w:t>
            </w:r>
          </w:p>
        </w:tc>
        <w:tc>
          <w:tcPr>
            <w:tcW w:w="3348" w:type="dxa"/>
            <w:vMerge w:val="restart"/>
            <w:tcBorders>
              <w:top w:val="single" w:sz="8" w:space="0" w:color="BFBFBF" w:themeColor="background1" w:themeShade="BF"/>
              <w:left w:val="single" w:sz="8" w:space="0" w:color="BFBFBF" w:themeColor="background1" w:themeShade="BF"/>
              <w:right w:val="nil"/>
            </w:tcBorders>
            <w:vAlign w:val="center"/>
          </w:tcPr>
          <w:p w:rsidR="00BC1E5D" w:rsidRPr="00F621CD" w:rsidRDefault="00BC1E5D" w:rsidP="00313DC9">
            <w:pPr>
              <w:rPr>
                <w:sz w:val="20"/>
                <w:szCs w:val="20"/>
              </w:rPr>
            </w:pPr>
            <w:r w:rsidRPr="00F621CD">
              <w:rPr>
                <w:sz w:val="20"/>
                <w:szCs w:val="20"/>
              </w:rPr>
              <w:t>Muskie School</w:t>
            </w:r>
            <w:r>
              <w:rPr>
                <w:sz w:val="20"/>
                <w:szCs w:val="20"/>
              </w:rPr>
              <w:t xml:space="preserve"> of Public Service </w:t>
            </w:r>
            <w:r>
              <w:rPr>
                <w:sz w:val="20"/>
                <w:szCs w:val="20"/>
              </w:rPr>
              <w:br/>
            </w:r>
            <w:r w:rsidRPr="00F621CD">
              <w:rPr>
                <w:sz w:val="20"/>
                <w:szCs w:val="20"/>
              </w:rPr>
              <w:t>U</w:t>
            </w:r>
            <w:r>
              <w:rPr>
                <w:sz w:val="20"/>
                <w:szCs w:val="20"/>
              </w:rPr>
              <w:t>niv. of Southern Maine</w:t>
            </w:r>
          </w:p>
        </w:tc>
      </w:tr>
      <w:tr w:rsidR="00BC1E5D" w:rsidRPr="00F621CD" w:rsidTr="00BC1E5D">
        <w:tc>
          <w:tcPr>
            <w:tcW w:w="3070" w:type="dxa"/>
            <w:vMerge/>
            <w:tcBorders>
              <w:left w:val="nil"/>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p>
        </w:tc>
        <w:tc>
          <w:tcPr>
            <w:tcW w:w="24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C1E5D" w:rsidRPr="00F621CD" w:rsidRDefault="00BC1E5D" w:rsidP="00313DC9">
            <w:pPr>
              <w:rPr>
                <w:sz w:val="20"/>
                <w:szCs w:val="20"/>
              </w:rPr>
            </w:pPr>
            <w:r w:rsidRPr="00F621CD">
              <w:rPr>
                <w:sz w:val="20"/>
                <w:szCs w:val="20"/>
              </w:rPr>
              <w:t>Sherry Gildard</w:t>
            </w:r>
          </w:p>
        </w:tc>
        <w:tc>
          <w:tcPr>
            <w:tcW w:w="3348" w:type="dxa"/>
            <w:vMerge/>
            <w:tcBorders>
              <w:left w:val="single" w:sz="8" w:space="0" w:color="BFBFBF" w:themeColor="background1" w:themeShade="BF"/>
              <w:bottom w:val="single" w:sz="8" w:space="0" w:color="BFBFBF" w:themeColor="background1" w:themeShade="BF"/>
              <w:right w:val="nil"/>
            </w:tcBorders>
            <w:vAlign w:val="center"/>
          </w:tcPr>
          <w:p w:rsidR="00BC1E5D" w:rsidRPr="00F621CD" w:rsidRDefault="00BC1E5D" w:rsidP="00313DC9">
            <w:pPr>
              <w:rPr>
                <w:sz w:val="20"/>
                <w:szCs w:val="20"/>
              </w:rPr>
            </w:pPr>
          </w:p>
        </w:tc>
      </w:tr>
    </w:tbl>
    <w:p w:rsidR="00BC1E5D" w:rsidRDefault="00BC1E5D" w:rsidP="00BC1E5D">
      <w:pPr>
        <w:spacing w:after="0" w:line="240" w:lineRule="auto"/>
      </w:pPr>
    </w:p>
    <w:p w:rsidR="007B24E7" w:rsidRDefault="007B24E7" w:rsidP="00BC1E5D">
      <w:pPr>
        <w:spacing w:after="0" w:line="240" w:lineRule="auto"/>
        <w:rPr>
          <w:rFonts w:ascii="Times New Roman" w:hAnsi="Times New Roman" w:cs="Times New Roman"/>
          <w:noProof/>
          <w:sz w:val="23"/>
          <w:szCs w:val="23"/>
        </w:rPr>
      </w:pPr>
      <w:r>
        <w:rPr>
          <w:rFonts w:ascii="Times New Roman" w:hAnsi="Times New Roman" w:cs="Times New Roman"/>
          <w:noProof/>
          <w:sz w:val="23"/>
          <w:szCs w:val="23"/>
        </w:rPr>
        <w:br w:type="page"/>
      </w:r>
    </w:p>
    <w:p w:rsidR="003A5441" w:rsidRDefault="00D66492" w:rsidP="00153AC1">
      <w:pPr>
        <w:autoSpaceDE w:val="0"/>
        <w:autoSpaceDN w:val="0"/>
        <w:adjustRightInd w:val="0"/>
        <w:spacing w:after="0" w:line="240" w:lineRule="auto"/>
        <w:jc w:val="center"/>
        <w:rPr>
          <w:rFonts w:ascii="Times New Roman" w:hAnsi="Times New Roman" w:cs="Times New Roman"/>
          <w:sz w:val="23"/>
          <w:szCs w:val="23"/>
        </w:rPr>
      </w:pPr>
      <w:r>
        <w:rPr>
          <w:rFonts w:ascii="Times New Roman" w:hAnsi="Times New Roman" w:cs="Times New Roman"/>
          <w:noProof/>
          <w:sz w:val="23"/>
          <w:szCs w:val="23"/>
        </w:rPr>
        <w:drawing>
          <wp:inline distT="0" distB="0" distL="0" distR="0">
            <wp:extent cx="2799080" cy="1158240"/>
            <wp:effectExtent l="0" t="0" r="1270" b="3810"/>
            <wp:docPr id="7" name="Picture 7" descr="S:\Administration-Logistics\Forms-Templates\Logos\DHHS-BW-6-2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istration-Logistics\Forms-Templates\Logos\DHHS-BW-6-23-1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99080" cy="1158240"/>
                    </a:xfrm>
                    <a:prstGeom prst="rect">
                      <a:avLst/>
                    </a:prstGeom>
                    <a:noFill/>
                    <a:ln>
                      <a:noFill/>
                    </a:ln>
                  </pic:spPr>
                </pic:pic>
              </a:graphicData>
            </a:graphic>
          </wp:inline>
        </w:drawing>
      </w:r>
    </w:p>
    <w:p w:rsidR="003A5441" w:rsidRDefault="003A5441" w:rsidP="00153AC1">
      <w:pPr>
        <w:autoSpaceDE w:val="0"/>
        <w:autoSpaceDN w:val="0"/>
        <w:adjustRightInd w:val="0"/>
        <w:spacing w:after="0" w:line="240" w:lineRule="auto"/>
        <w:jc w:val="center"/>
        <w:rPr>
          <w:rFonts w:ascii="Times New Roman" w:hAnsi="Times New Roman" w:cs="Times New Roman"/>
          <w:sz w:val="23"/>
          <w:szCs w:val="23"/>
        </w:rPr>
      </w:pPr>
    </w:p>
    <w:p w:rsidR="00D66492" w:rsidRDefault="00D66492" w:rsidP="00153AC1">
      <w:pPr>
        <w:autoSpaceDE w:val="0"/>
        <w:autoSpaceDN w:val="0"/>
        <w:adjustRightInd w:val="0"/>
        <w:spacing w:after="0" w:line="240" w:lineRule="auto"/>
        <w:jc w:val="center"/>
        <w:rPr>
          <w:rFonts w:ascii="Times New Roman" w:hAnsi="Times New Roman" w:cs="Times New Roman"/>
          <w:sz w:val="23"/>
          <w:szCs w:val="23"/>
        </w:rPr>
      </w:pPr>
    </w:p>
    <w:p w:rsidR="00153AC1" w:rsidRPr="002B2334" w:rsidRDefault="00153AC1" w:rsidP="002B2334">
      <w:pPr>
        <w:autoSpaceDE w:val="0"/>
        <w:autoSpaceDN w:val="0"/>
        <w:adjustRightInd w:val="0"/>
        <w:spacing w:after="0" w:line="240" w:lineRule="auto"/>
        <w:jc w:val="both"/>
        <w:rPr>
          <w:rFonts w:ascii="Times New Roman" w:hAnsi="Times New Roman" w:cs="Times New Roman"/>
          <w:sz w:val="18"/>
          <w:szCs w:val="18"/>
        </w:rPr>
      </w:pPr>
      <w:r w:rsidRPr="00153AC1">
        <w:rPr>
          <w:rFonts w:ascii="Times New Roman" w:hAnsi="Times New Roman" w:cs="Times New Roman"/>
          <w:sz w:val="18"/>
          <w:szCs w:val="18"/>
        </w:rPr>
        <w:t>The Department of Health and Human Services (DHHS) does not discriminate on the basis of disability, race, color, creed, gender, age, sexual orientation, or national origin, in admission to, access to or operation of its programs, services, activities, or its hiring or employment practices.</w:t>
      </w:r>
      <w:r w:rsidR="00A77CB0">
        <w:rPr>
          <w:rFonts w:ascii="Times New Roman" w:hAnsi="Times New Roman" w:cs="Times New Roman"/>
          <w:sz w:val="18"/>
          <w:szCs w:val="18"/>
        </w:rPr>
        <w:t xml:space="preserve">  </w:t>
      </w:r>
      <w:r w:rsidRPr="00153AC1">
        <w:rPr>
          <w:rFonts w:ascii="Times New Roman" w:hAnsi="Times New Roman" w:cs="Times New Roman"/>
          <w:sz w:val="18"/>
          <w:szCs w:val="18"/>
        </w:rPr>
        <w:t>This notice is provided as required by Title II of the Americans with Disabilities Act of 1990 and in accordance with the Civil Rights Acts of 1964 as amended. Section 504 of the Rehabilitation Act of 1973 as amended, the Age Discrimination Act of 1975, Title IX of the Education Amendments of 1972 and the Maine Human Rights Act. Questions, concerns, complaints, or requests for additional information regarding civil rights may be forwarded to the DHHS’ ADA Compliance/EEO Coordinator, State House Station #11, Augusta, Maine 04333, 207-287-4289 (V) or 207-287-3488 (V), TTY: 800-606-0215. Individuals who need auxiliary aids for effective communication in programs and services of DHHS are invited to make their needs and preferences known to the ADA Compliance/EEO Coordinator. This notice is available in alternate formats, upon request.</w:t>
      </w:r>
    </w:p>
    <w:sectPr w:rsidR="00153AC1" w:rsidRPr="002B2334" w:rsidSect="00ED1AC2">
      <w:pgSz w:w="12240" w:h="15840"/>
      <w:pgMar w:top="1440" w:right="1440" w:bottom="2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080" w:rsidRDefault="002D3080" w:rsidP="00003E7E">
      <w:pPr>
        <w:spacing w:after="0" w:line="240" w:lineRule="auto"/>
      </w:pPr>
      <w:r>
        <w:separator/>
      </w:r>
    </w:p>
  </w:endnote>
  <w:endnote w:type="continuationSeparator" w:id="0">
    <w:p w:rsidR="002D3080" w:rsidRDefault="002D3080" w:rsidP="00003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Antiqua-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7AF" w:rsidRDefault="00C027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61E" w:rsidRPr="00E92482" w:rsidRDefault="00CA761E" w:rsidP="00E92482">
    <w:pPr>
      <w:pStyle w:val="Footer"/>
      <w:jc w:val="right"/>
      <w:rPr>
        <w:sz w:val="20"/>
      </w:rPr>
    </w:pPr>
    <w:r w:rsidRPr="00E92482">
      <w:rPr>
        <w:sz w:val="20"/>
      </w:rPr>
      <w:t xml:space="preserve">Page </w:t>
    </w:r>
    <w:sdt>
      <w:sdtPr>
        <w:rPr>
          <w:sz w:val="20"/>
        </w:rPr>
        <w:id w:val="-1616131579"/>
        <w:docPartObj>
          <w:docPartGallery w:val="Page Numbers (Bottom of Page)"/>
          <w:docPartUnique/>
        </w:docPartObj>
      </w:sdtPr>
      <w:sdtEndPr>
        <w:rPr>
          <w:noProof/>
        </w:rPr>
      </w:sdtEndPr>
      <w:sdtContent>
        <w:r w:rsidRPr="00E92482">
          <w:rPr>
            <w:sz w:val="20"/>
          </w:rPr>
          <w:fldChar w:fldCharType="begin"/>
        </w:r>
        <w:r w:rsidRPr="00E92482">
          <w:rPr>
            <w:sz w:val="20"/>
          </w:rPr>
          <w:instrText xml:space="preserve"> PAGE   \* MERGEFORMAT </w:instrText>
        </w:r>
        <w:r w:rsidRPr="00E92482">
          <w:rPr>
            <w:sz w:val="20"/>
          </w:rPr>
          <w:fldChar w:fldCharType="separate"/>
        </w:r>
        <w:r w:rsidR="00217CA4">
          <w:rPr>
            <w:noProof/>
            <w:sz w:val="20"/>
          </w:rPr>
          <w:t>4</w:t>
        </w:r>
        <w:r w:rsidRPr="00E92482">
          <w:rPr>
            <w:noProof/>
            <w:sz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7AF" w:rsidRDefault="00C027A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482" w:rsidRPr="00E92482" w:rsidRDefault="00E92482" w:rsidP="00E92482">
    <w:pPr>
      <w:pStyle w:val="Footer"/>
      <w:jc w:val="right"/>
      <w:rPr>
        <w:sz w:val="20"/>
      </w:rPr>
    </w:pPr>
    <w:r w:rsidRPr="00E92482">
      <w:rPr>
        <w:sz w:val="20"/>
      </w:rPr>
      <w:t xml:space="preserve">Page </w:t>
    </w:r>
    <w:sdt>
      <w:sdtPr>
        <w:rPr>
          <w:sz w:val="20"/>
        </w:rPr>
        <w:id w:val="-240872327"/>
        <w:docPartObj>
          <w:docPartGallery w:val="Page Numbers (Bottom of Page)"/>
          <w:docPartUnique/>
        </w:docPartObj>
      </w:sdtPr>
      <w:sdtEndPr>
        <w:rPr>
          <w:noProof/>
        </w:rPr>
      </w:sdtEndPr>
      <w:sdtContent>
        <w:r w:rsidRPr="00E92482">
          <w:rPr>
            <w:sz w:val="20"/>
          </w:rPr>
          <w:fldChar w:fldCharType="begin"/>
        </w:r>
        <w:r w:rsidRPr="00E92482">
          <w:rPr>
            <w:sz w:val="20"/>
          </w:rPr>
          <w:instrText xml:space="preserve"> PAGE   \* MERGEFORMAT </w:instrText>
        </w:r>
        <w:r w:rsidRPr="00E92482">
          <w:rPr>
            <w:sz w:val="20"/>
          </w:rPr>
          <w:fldChar w:fldCharType="separate"/>
        </w:r>
        <w:r w:rsidR="00217CA4">
          <w:rPr>
            <w:noProof/>
            <w:sz w:val="20"/>
          </w:rPr>
          <w:t>5</w:t>
        </w:r>
        <w:r w:rsidRPr="00E92482">
          <w:rPr>
            <w:noProof/>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080" w:rsidRDefault="002D3080" w:rsidP="00003E7E">
      <w:pPr>
        <w:spacing w:after="0" w:line="240" w:lineRule="auto"/>
      </w:pPr>
      <w:r>
        <w:separator/>
      </w:r>
    </w:p>
  </w:footnote>
  <w:footnote w:type="continuationSeparator" w:id="0">
    <w:p w:rsidR="002D3080" w:rsidRDefault="002D3080" w:rsidP="00003E7E">
      <w:pPr>
        <w:spacing w:after="0" w:line="240" w:lineRule="auto"/>
      </w:pPr>
      <w:r>
        <w:continuationSeparator/>
      </w:r>
    </w:p>
  </w:footnote>
  <w:footnote w:id="1">
    <w:p w:rsidR="00E92482" w:rsidRDefault="00E92482" w:rsidP="00590DD8">
      <w:pPr>
        <w:pStyle w:val="FootnoteText"/>
      </w:pPr>
      <w:r w:rsidRPr="00E92482">
        <w:rPr>
          <w:rStyle w:val="FootnoteReference"/>
          <w:szCs w:val="18"/>
        </w:rPr>
        <w:footnoteRef/>
      </w:r>
      <w:r w:rsidRPr="00E92482">
        <w:t xml:space="preserve"> </w:t>
      </w:r>
      <w:r>
        <w:tab/>
      </w:r>
      <w:r w:rsidRPr="00E92482">
        <w:rPr>
          <w:lang w:val="en"/>
        </w:rPr>
        <w:t xml:space="preserve">Magill SS, Edwards JR, Bamberg W, et al.  </w:t>
      </w:r>
      <w:hyperlink r:id="rId1" w:history="1">
        <w:r w:rsidRPr="00E92482">
          <w:rPr>
            <w:i/>
            <w:lang w:val="en"/>
          </w:rPr>
          <w:t>Multistate Point-Prevalence Survey of Health Care–Associated Infections</w:t>
        </w:r>
        <w:r w:rsidRPr="00E92482">
          <w:rPr>
            <w:color w:val="003366"/>
            <w:lang w:val="en"/>
          </w:rPr>
          <w:t>.</w:t>
        </w:r>
      </w:hyperlink>
      <w:r w:rsidRPr="00E92482">
        <w:rPr>
          <w:lang w:val="en"/>
        </w:rPr>
        <w:t xml:space="preserve"> </w:t>
      </w:r>
      <w:r w:rsidRPr="00E92482">
        <w:rPr>
          <w:i/>
          <w:iCs/>
          <w:lang w:val="en"/>
        </w:rPr>
        <w:t>N Engl J Med</w:t>
      </w:r>
      <w:r w:rsidRPr="00E92482">
        <w:rPr>
          <w:lang w:val="en"/>
        </w:rPr>
        <w:t xml:space="preserve"> 2014;370:1198-208.</w:t>
      </w:r>
    </w:p>
  </w:footnote>
  <w:footnote w:id="2">
    <w:p w:rsidR="00590DD8" w:rsidRDefault="00590DD8" w:rsidP="00590DD8">
      <w:pPr>
        <w:pStyle w:val="FootnoteText"/>
      </w:pPr>
      <w:r>
        <w:rPr>
          <w:rStyle w:val="FootnoteReference"/>
        </w:rPr>
        <w:footnoteRef/>
      </w:r>
      <w:r>
        <w:t xml:space="preserve"> </w:t>
      </w:r>
      <w:r w:rsidRPr="0090716F">
        <w:t xml:space="preserve">Centers for Disease Control and Prevention.  Antibiotic/Antimicrobial Resistance website.:  </w:t>
      </w:r>
      <w:hyperlink r:id="rId2" w:history="1">
        <w:r w:rsidRPr="0090716F">
          <w:rPr>
            <w:rStyle w:val="Hyperlink"/>
            <w:sz w:val="16"/>
            <w:szCs w:val="16"/>
          </w:rPr>
          <w:t>http://www.cdc.gov/drugresistance</w:t>
        </w:r>
      </w:hyperlink>
      <w:r w:rsidRPr="0090716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61E" w:rsidRDefault="00217C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12.4pt;height:247.4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7AF" w:rsidRDefault="00C027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7AF" w:rsidRDefault="00C027A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121" w:rsidRDefault="000131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7AF" w:rsidRDefault="00C027A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121" w:rsidRPr="00E92482" w:rsidRDefault="00E92482" w:rsidP="00E92482">
    <w:pPr>
      <w:pStyle w:val="Header"/>
      <w:jc w:val="center"/>
      <w:rPr>
        <w:sz w:val="24"/>
      </w:rPr>
    </w:pPr>
    <w:r w:rsidRPr="00E92482">
      <w:rPr>
        <w:sz w:val="24"/>
      </w:rPr>
      <w:t xml:space="preserve">D  </w:t>
    </w:r>
    <w:r>
      <w:rPr>
        <w:sz w:val="24"/>
      </w:rPr>
      <w:t xml:space="preserve">  </w:t>
    </w:r>
    <w:r w:rsidRPr="00E92482">
      <w:rPr>
        <w:sz w:val="24"/>
      </w:rPr>
      <w:t xml:space="preserve">  R </w:t>
    </w:r>
    <w:r>
      <w:rPr>
        <w:sz w:val="24"/>
      </w:rPr>
      <w:t xml:space="preserve">  </w:t>
    </w:r>
    <w:r w:rsidRPr="00E92482">
      <w:rPr>
        <w:sz w:val="24"/>
      </w:rPr>
      <w:t xml:space="preserve">   A  </w:t>
    </w:r>
    <w:r>
      <w:rPr>
        <w:sz w:val="24"/>
      </w:rPr>
      <w:t xml:space="preserve">  </w:t>
    </w:r>
    <w:r w:rsidRPr="00E92482">
      <w:rPr>
        <w:sz w:val="24"/>
      </w:rPr>
      <w:t xml:space="preserve">  F </w:t>
    </w:r>
    <w:r>
      <w:rPr>
        <w:sz w:val="24"/>
      </w:rPr>
      <w:t xml:space="preserve">  </w:t>
    </w:r>
    <w:r w:rsidRPr="00E92482">
      <w:rPr>
        <w:sz w:val="24"/>
      </w:rPr>
      <w:t xml:space="preserve">   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54EC8"/>
    <w:multiLevelType w:val="hybridMultilevel"/>
    <w:tmpl w:val="4880C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A0876"/>
    <w:multiLevelType w:val="hybridMultilevel"/>
    <w:tmpl w:val="BFA845A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E65073"/>
    <w:multiLevelType w:val="hybridMultilevel"/>
    <w:tmpl w:val="4372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C76F8"/>
    <w:multiLevelType w:val="hybridMultilevel"/>
    <w:tmpl w:val="A8844F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A64712"/>
    <w:multiLevelType w:val="hybridMultilevel"/>
    <w:tmpl w:val="9000D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1B7922"/>
    <w:multiLevelType w:val="hybridMultilevel"/>
    <w:tmpl w:val="B8F625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C3814"/>
    <w:multiLevelType w:val="hybridMultilevel"/>
    <w:tmpl w:val="2818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D3F8F"/>
    <w:multiLevelType w:val="hybridMultilevel"/>
    <w:tmpl w:val="19FC4E7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2A7F07A6"/>
    <w:multiLevelType w:val="hybridMultilevel"/>
    <w:tmpl w:val="3F38C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44007A"/>
    <w:multiLevelType w:val="hybridMultilevel"/>
    <w:tmpl w:val="57E4264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893D49"/>
    <w:multiLevelType w:val="hybridMultilevel"/>
    <w:tmpl w:val="D7822F7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A73995"/>
    <w:multiLevelType w:val="hybridMultilevel"/>
    <w:tmpl w:val="E7CE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4C4D1F"/>
    <w:multiLevelType w:val="hybridMultilevel"/>
    <w:tmpl w:val="A1965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EA05CD"/>
    <w:multiLevelType w:val="hybridMultilevel"/>
    <w:tmpl w:val="AFF0293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4F165EB"/>
    <w:multiLevelType w:val="hybridMultilevel"/>
    <w:tmpl w:val="9C0848A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34E7593"/>
    <w:multiLevelType w:val="hybridMultilevel"/>
    <w:tmpl w:val="AE8E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461514"/>
    <w:multiLevelType w:val="hybridMultilevel"/>
    <w:tmpl w:val="C406A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45102E"/>
    <w:multiLevelType w:val="hybridMultilevel"/>
    <w:tmpl w:val="C922A8B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78CC0689"/>
    <w:multiLevelType w:val="hybridMultilevel"/>
    <w:tmpl w:val="8E88920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CB90878"/>
    <w:multiLevelType w:val="hybridMultilevel"/>
    <w:tmpl w:val="4EE893F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18"/>
  </w:num>
  <w:num w:numId="4">
    <w:abstractNumId w:val="10"/>
  </w:num>
  <w:num w:numId="5">
    <w:abstractNumId w:val="1"/>
  </w:num>
  <w:num w:numId="6">
    <w:abstractNumId w:val="9"/>
  </w:num>
  <w:num w:numId="7">
    <w:abstractNumId w:val="14"/>
  </w:num>
  <w:num w:numId="8">
    <w:abstractNumId w:val="19"/>
  </w:num>
  <w:num w:numId="9">
    <w:abstractNumId w:val="13"/>
  </w:num>
  <w:num w:numId="10">
    <w:abstractNumId w:val="5"/>
  </w:num>
  <w:num w:numId="11">
    <w:abstractNumId w:val="12"/>
  </w:num>
  <w:num w:numId="12">
    <w:abstractNumId w:val="17"/>
  </w:num>
  <w:num w:numId="13">
    <w:abstractNumId w:val="8"/>
  </w:num>
  <w:num w:numId="14">
    <w:abstractNumId w:val="0"/>
  </w:num>
  <w:num w:numId="15">
    <w:abstractNumId w:val="11"/>
  </w:num>
  <w:num w:numId="16">
    <w:abstractNumId w:val="15"/>
  </w:num>
  <w:num w:numId="17">
    <w:abstractNumId w:val="16"/>
  </w:num>
  <w:num w:numId="18">
    <w:abstractNumId w:val="7"/>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291"/>
    <w:rsid w:val="00003598"/>
    <w:rsid w:val="00003E7E"/>
    <w:rsid w:val="0000452A"/>
    <w:rsid w:val="00006398"/>
    <w:rsid w:val="00012F47"/>
    <w:rsid w:val="00013121"/>
    <w:rsid w:val="00025661"/>
    <w:rsid w:val="00047496"/>
    <w:rsid w:val="00051B70"/>
    <w:rsid w:val="000558E0"/>
    <w:rsid w:val="00085180"/>
    <w:rsid w:val="00094058"/>
    <w:rsid w:val="00095354"/>
    <w:rsid w:val="000B0F08"/>
    <w:rsid w:val="000C28AB"/>
    <w:rsid w:val="000C39FC"/>
    <w:rsid w:val="000E2397"/>
    <w:rsid w:val="000F1891"/>
    <w:rsid w:val="000F28A6"/>
    <w:rsid w:val="000F4E05"/>
    <w:rsid w:val="000F6278"/>
    <w:rsid w:val="00111751"/>
    <w:rsid w:val="00117E53"/>
    <w:rsid w:val="00120330"/>
    <w:rsid w:val="00124C42"/>
    <w:rsid w:val="001428BE"/>
    <w:rsid w:val="00145DF8"/>
    <w:rsid w:val="00153AC1"/>
    <w:rsid w:val="00163B70"/>
    <w:rsid w:val="00164DCD"/>
    <w:rsid w:val="001708BF"/>
    <w:rsid w:val="0017219F"/>
    <w:rsid w:val="001C63D8"/>
    <w:rsid w:val="001D0313"/>
    <w:rsid w:val="00212134"/>
    <w:rsid w:val="00214D11"/>
    <w:rsid w:val="00215BC2"/>
    <w:rsid w:val="002163F3"/>
    <w:rsid w:val="00217CA4"/>
    <w:rsid w:val="002201BF"/>
    <w:rsid w:val="00220B09"/>
    <w:rsid w:val="0022247B"/>
    <w:rsid w:val="002348A9"/>
    <w:rsid w:val="002618D3"/>
    <w:rsid w:val="00261AA5"/>
    <w:rsid w:val="00266AD0"/>
    <w:rsid w:val="002722C0"/>
    <w:rsid w:val="00275BC3"/>
    <w:rsid w:val="00282474"/>
    <w:rsid w:val="00294A0C"/>
    <w:rsid w:val="002A628B"/>
    <w:rsid w:val="002A65E4"/>
    <w:rsid w:val="002B2334"/>
    <w:rsid w:val="002C7F49"/>
    <w:rsid w:val="002D3080"/>
    <w:rsid w:val="002E1B4B"/>
    <w:rsid w:val="002E1FF0"/>
    <w:rsid w:val="00313E50"/>
    <w:rsid w:val="00314BA1"/>
    <w:rsid w:val="00324C75"/>
    <w:rsid w:val="003366FE"/>
    <w:rsid w:val="00376BB7"/>
    <w:rsid w:val="00377A49"/>
    <w:rsid w:val="00392BA8"/>
    <w:rsid w:val="00393D10"/>
    <w:rsid w:val="003A5441"/>
    <w:rsid w:val="003A5CAB"/>
    <w:rsid w:val="003C44FB"/>
    <w:rsid w:val="003E0318"/>
    <w:rsid w:val="003E5F65"/>
    <w:rsid w:val="003E6969"/>
    <w:rsid w:val="003F2DCF"/>
    <w:rsid w:val="0040036A"/>
    <w:rsid w:val="00406C76"/>
    <w:rsid w:val="004078D7"/>
    <w:rsid w:val="00421FB5"/>
    <w:rsid w:val="004327FC"/>
    <w:rsid w:val="00437F44"/>
    <w:rsid w:val="00443274"/>
    <w:rsid w:val="00444F21"/>
    <w:rsid w:val="0046391F"/>
    <w:rsid w:val="00463BEA"/>
    <w:rsid w:val="00471747"/>
    <w:rsid w:val="004B1221"/>
    <w:rsid w:val="004B670A"/>
    <w:rsid w:val="004D065E"/>
    <w:rsid w:val="004D7AC3"/>
    <w:rsid w:val="004F24E6"/>
    <w:rsid w:val="004F2EA1"/>
    <w:rsid w:val="004F46BB"/>
    <w:rsid w:val="004F48B6"/>
    <w:rsid w:val="004F7BA6"/>
    <w:rsid w:val="00505611"/>
    <w:rsid w:val="00514366"/>
    <w:rsid w:val="0052007B"/>
    <w:rsid w:val="00534FEE"/>
    <w:rsid w:val="00550B28"/>
    <w:rsid w:val="0056403B"/>
    <w:rsid w:val="00572246"/>
    <w:rsid w:val="00583452"/>
    <w:rsid w:val="00586500"/>
    <w:rsid w:val="00590DD8"/>
    <w:rsid w:val="00597CD9"/>
    <w:rsid w:val="005B1489"/>
    <w:rsid w:val="005B518D"/>
    <w:rsid w:val="005F36B4"/>
    <w:rsid w:val="006362F4"/>
    <w:rsid w:val="00642636"/>
    <w:rsid w:val="00643EB3"/>
    <w:rsid w:val="00673CAA"/>
    <w:rsid w:val="006756F0"/>
    <w:rsid w:val="00684E7B"/>
    <w:rsid w:val="006A3F9C"/>
    <w:rsid w:val="006A58D2"/>
    <w:rsid w:val="006B2CA1"/>
    <w:rsid w:val="006B5C54"/>
    <w:rsid w:val="006B5F34"/>
    <w:rsid w:val="006D20E0"/>
    <w:rsid w:val="006D3D44"/>
    <w:rsid w:val="006D7647"/>
    <w:rsid w:val="006E712B"/>
    <w:rsid w:val="007025D2"/>
    <w:rsid w:val="00702C79"/>
    <w:rsid w:val="00721AD4"/>
    <w:rsid w:val="00725D2F"/>
    <w:rsid w:val="007439B4"/>
    <w:rsid w:val="00752EB6"/>
    <w:rsid w:val="00753860"/>
    <w:rsid w:val="00756D34"/>
    <w:rsid w:val="0076637F"/>
    <w:rsid w:val="00783D12"/>
    <w:rsid w:val="00784E83"/>
    <w:rsid w:val="0078712A"/>
    <w:rsid w:val="0079211A"/>
    <w:rsid w:val="007936B6"/>
    <w:rsid w:val="00794A60"/>
    <w:rsid w:val="007A4874"/>
    <w:rsid w:val="007A6400"/>
    <w:rsid w:val="007B24E7"/>
    <w:rsid w:val="007C2EEF"/>
    <w:rsid w:val="00804004"/>
    <w:rsid w:val="008106A9"/>
    <w:rsid w:val="00810F29"/>
    <w:rsid w:val="0082606C"/>
    <w:rsid w:val="00846DC4"/>
    <w:rsid w:val="00851F4B"/>
    <w:rsid w:val="0085313E"/>
    <w:rsid w:val="00861FA9"/>
    <w:rsid w:val="00873EBA"/>
    <w:rsid w:val="00880DEC"/>
    <w:rsid w:val="008915C7"/>
    <w:rsid w:val="008A14DD"/>
    <w:rsid w:val="008A70C3"/>
    <w:rsid w:val="008B608C"/>
    <w:rsid w:val="008C3ACA"/>
    <w:rsid w:val="008C4291"/>
    <w:rsid w:val="008D1CC2"/>
    <w:rsid w:val="0090716F"/>
    <w:rsid w:val="009077E7"/>
    <w:rsid w:val="00915433"/>
    <w:rsid w:val="009559D2"/>
    <w:rsid w:val="00976969"/>
    <w:rsid w:val="00983B65"/>
    <w:rsid w:val="00991BFA"/>
    <w:rsid w:val="00992384"/>
    <w:rsid w:val="009A31CA"/>
    <w:rsid w:val="009B36C7"/>
    <w:rsid w:val="009C0F4D"/>
    <w:rsid w:val="009C7A8F"/>
    <w:rsid w:val="009D3EFF"/>
    <w:rsid w:val="009E4B7D"/>
    <w:rsid w:val="00A12A29"/>
    <w:rsid w:val="00A31F36"/>
    <w:rsid w:val="00A44279"/>
    <w:rsid w:val="00A77CB0"/>
    <w:rsid w:val="00A81FA1"/>
    <w:rsid w:val="00A92E02"/>
    <w:rsid w:val="00AD6B8D"/>
    <w:rsid w:val="00AE6C26"/>
    <w:rsid w:val="00AE7E09"/>
    <w:rsid w:val="00AF1EF4"/>
    <w:rsid w:val="00B01399"/>
    <w:rsid w:val="00B2752F"/>
    <w:rsid w:val="00B31802"/>
    <w:rsid w:val="00B3302A"/>
    <w:rsid w:val="00B445B7"/>
    <w:rsid w:val="00B4594B"/>
    <w:rsid w:val="00B63A22"/>
    <w:rsid w:val="00B72578"/>
    <w:rsid w:val="00B93556"/>
    <w:rsid w:val="00BB45DA"/>
    <w:rsid w:val="00BC16FE"/>
    <w:rsid w:val="00BC1E5D"/>
    <w:rsid w:val="00BE2676"/>
    <w:rsid w:val="00BF0830"/>
    <w:rsid w:val="00BF1419"/>
    <w:rsid w:val="00BF7C01"/>
    <w:rsid w:val="00C027AF"/>
    <w:rsid w:val="00C208DB"/>
    <w:rsid w:val="00C40214"/>
    <w:rsid w:val="00C57876"/>
    <w:rsid w:val="00C626B6"/>
    <w:rsid w:val="00C67287"/>
    <w:rsid w:val="00C7127A"/>
    <w:rsid w:val="00C74456"/>
    <w:rsid w:val="00C9101E"/>
    <w:rsid w:val="00C91A1D"/>
    <w:rsid w:val="00C94ED5"/>
    <w:rsid w:val="00C9591F"/>
    <w:rsid w:val="00CA761E"/>
    <w:rsid w:val="00CB269C"/>
    <w:rsid w:val="00CC1D9A"/>
    <w:rsid w:val="00CD1975"/>
    <w:rsid w:val="00CE02B5"/>
    <w:rsid w:val="00CE5CEC"/>
    <w:rsid w:val="00CF0448"/>
    <w:rsid w:val="00CF4220"/>
    <w:rsid w:val="00D01471"/>
    <w:rsid w:val="00D05730"/>
    <w:rsid w:val="00D10537"/>
    <w:rsid w:val="00D10FE1"/>
    <w:rsid w:val="00D32A45"/>
    <w:rsid w:val="00D3644D"/>
    <w:rsid w:val="00D405B5"/>
    <w:rsid w:val="00D53A39"/>
    <w:rsid w:val="00D555E4"/>
    <w:rsid w:val="00D62EEE"/>
    <w:rsid w:val="00D643CF"/>
    <w:rsid w:val="00D66492"/>
    <w:rsid w:val="00D824CA"/>
    <w:rsid w:val="00D902A7"/>
    <w:rsid w:val="00DA0725"/>
    <w:rsid w:val="00DA6C33"/>
    <w:rsid w:val="00DB28BA"/>
    <w:rsid w:val="00DB63A2"/>
    <w:rsid w:val="00DD1A5A"/>
    <w:rsid w:val="00DE3000"/>
    <w:rsid w:val="00DE714A"/>
    <w:rsid w:val="00E35FE3"/>
    <w:rsid w:val="00E44EC3"/>
    <w:rsid w:val="00E473E4"/>
    <w:rsid w:val="00E541C6"/>
    <w:rsid w:val="00E66399"/>
    <w:rsid w:val="00E67578"/>
    <w:rsid w:val="00E6760C"/>
    <w:rsid w:val="00E80D20"/>
    <w:rsid w:val="00E92482"/>
    <w:rsid w:val="00EA41EF"/>
    <w:rsid w:val="00EC494C"/>
    <w:rsid w:val="00ED1AC2"/>
    <w:rsid w:val="00EE18DC"/>
    <w:rsid w:val="00EF6D73"/>
    <w:rsid w:val="00F03DB1"/>
    <w:rsid w:val="00F07519"/>
    <w:rsid w:val="00F142BE"/>
    <w:rsid w:val="00F1730F"/>
    <w:rsid w:val="00F21484"/>
    <w:rsid w:val="00F35268"/>
    <w:rsid w:val="00F408CC"/>
    <w:rsid w:val="00F60C30"/>
    <w:rsid w:val="00F639A4"/>
    <w:rsid w:val="00F7201F"/>
    <w:rsid w:val="00F74FB8"/>
    <w:rsid w:val="00FA0400"/>
    <w:rsid w:val="00FB2016"/>
    <w:rsid w:val="00FD1E91"/>
    <w:rsid w:val="00FD68B5"/>
    <w:rsid w:val="00FF1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F3240AFC-F599-43B0-8119-969467ACB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D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291"/>
    <w:pPr>
      <w:ind w:left="720"/>
      <w:contextualSpacing/>
    </w:pPr>
  </w:style>
  <w:style w:type="paragraph" w:styleId="BalloonText">
    <w:name w:val="Balloon Text"/>
    <w:basedOn w:val="Normal"/>
    <w:link w:val="BalloonTextChar"/>
    <w:uiPriority w:val="99"/>
    <w:semiHidden/>
    <w:unhideWhenUsed/>
    <w:rsid w:val="00313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E50"/>
    <w:rPr>
      <w:rFonts w:ascii="Tahoma" w:hAnsi="Tahoma" w:cs="Tahoma"/>
      <w:sz w:val="16"/>
      <w:szCs w:val="16"/>
    </w:rPr>
  </w:style>
  <w:style w:type="table" w:styleId="TableGrid">
    <w:name w:val="Table Grid"/>
    <w:basedOn w:val="TableNormal"/>
    <w:uiPriority w:val="59"/>
    <w:rsid w:val="008D1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3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3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E7E"/>
  </w:style>
  <w:style w:type="paragraph" w:styleId="Footer">
    <w:name w:val="footer"/>
    <w:basedOn w:val="Normal"/>
    <w:link w:val="FooterChar"/>
    <w:uiPriority w:val="99"/>
    <w:unhideWhenUsed/>
    <w:rsid w:val="00003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E7E"/>
  </w:style>
  <w:style w:type="character" w:styleId="Hyperlink">
    <w:name w:val="Hyperlink"/>
    <w:basedOn w:val="DefaultParagraphFont"/>
    <w:uiPriority w:val="99"/>
    <w:unhideWhenUsed/>
    <w:rsid w:val="00BF1419"/>
    <w:rPr>
      <w:color w:val="0000FF" w:themeColor="hyperlink"/>
      <w:u w:val="single"/>
    </w:rPr>
  </w:style>
  <w:style w:type="paragraph" w:styleId="NormalWeb">
    <w:name w:val="Normal (Web)"/>
    <w:basedOn w:val="Normal"/>
    <w:uiPriority w:val="99"/>
    <w:unhideWhenUsed/>
    <w:rsid w:val="00F142BE"/>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F142BE"/>
    <w:rPr>
      <w:color w:val="800080" w:themeColor="followedHyperlink"/>
      <w:u w:val="single"/>
    </w:rPr>
  </w:style>
  <w:style w:type="paragraph" w:styleId="FootnoteText">
    <w:name w:val="footnote text"/>
    <w:basedOn w:val="Normal"/>
    <w:link w:val="FootnoteTextChar"/>
    <w:uiPriority w:val="99"/>
    <w:unhideWhenUsed/>
    <w:rsid w:val="00590DD8"/>
    <w:pPr>
      <w:spacing w:after="0" w:line="240" w:lineRule="auto"/>
      <w:ind w:left="180" w:hanging="180"/>
    </w:pPr>
    <w:rPr>
      <w:rFonts w:ascii="Times New Roman" w:hAnsi="Times New Roman"/>
      <w:sz w:val="18"/>
      <w:szCs w:val="20"/>
    </w:rPr>
  </w:style>
  <w:style w:type="character" w:customStyle="1" w:styleId="FootnoteTextChar">
    <w:name w:val="Footnote Text Char"/>
    <w:basedOn w:val="DefaultParagraphFont"/>
    <w:link w:val="FootnoteText"/>
    <w:uiPriority w:val="99"/>
    <w:rsid w:val="00590DD8"/>
    <w:rPr>
      <w:rFonts w:ascii="Times New Roman" w:hAnsi="Times New Roman"/>
      <w:sz w:val="18"/>
      <w:szCs w:val="20"/>
    </w:rPr>
  </w:style>
  <w:style w:type="character" w:styleId="FootnoteReference">
    <w:name w:val="footnote reference"/>
    <w:basedOn w:val="DefaultParagraphFont"/>
    <w:uiPriority w:val="99"/>
    <w:semiHidden/>
    <w:unhideWhenUsed/>
    <w:rsid w:val="00E924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87447">
      <w:bodyDiv w:val="1"/>
      <w:marLeft w:val="0"/>
      <w:marRight w:val="0"/>
      <w:marTop w:val="0"/>
      <w:marBottom w:val="0"/>
      <w:divBdr>
        <w:top w:val="none" w:sz="0" w:space="0" w:color="auto"/>
        <w:left w:val="none" w:sz="0" w:space="0" w:color="auto"/>
        <w:bottom w:val="none" w:sz="0" w:space="0" w:color="auto"/>
        <w:right w:val="none" w:sz="0" w:space="0" w:color="auto"/>
      </w:divBdr>
      <w:divsChild>
        <w:div w:id="1532764272">
          <w:marLeft w:val="0"/>
          <w:marRight w:val="0"/>
          <w:marTop w:val="0"/>
          <w:marBottom w:val="0"/>
          <w:divBdr>
            <w:top w:val="none" w:sz="0" w:space="0" w:color="auto"/>
            <w:left w:val="none" w:sz="0" w:space="0" w:color="auto"/>
            <w:bottom w:val="none" w:sz="0" w:space="0" w:color="auto"/>
            <w:right w:val="none" w:sz="0" w:space="0" w:color="auto"/>
          </w:divBdr>
          <w:divsChild>
            <w:div w:id="1231768480">
              <w:marLeft w:val="0"/>
              <w:marRight w:val="0"/>
              <w:marTop w:val="0"/>
              <w:marBottom w:val="0"/>
              <w:divBdr>
                <w:top w:val="none" w:sz="0" w:space="0" w:color="auto"/>
                <w:left w:val="none" w:sz="0" w:space="0" w:color="auto"/>
                <w:bottom w:val="none" w:sz="0" w:space="0" w:color="auto"/>
                <w:right w:val="none" w:sz="0" w:space="0" w:color="auto"/>
              </w:divBdr>
              <w:divsChild>
                <w:div w:id="1946763771">
                  <w:marLeft w:val="0"/>
                  <w:marRight w:val="0"/>
                  <w:marTop w:val="150"/>
                  <w:marBottom w:val="0"/>
                  <w:divBdr>
                    <w:top w:val="none" w:sz="0" w:space="0" w:color="auto"/>
                    <w:left w:val="none" w:sz="0" w:space="0" w:color="auto"/>
                    <w:bottom w:val="none" w:sz="0" w:space="0" w:color="auto"/>
                    <w:right w:val="none" w:sz="0" w:space="0" w:color="auto"/>
                  </w:divBdr>
                  <w:divsChild>
                    <w:div w:id="177474213">
                      <w:marLeft w:val="-150"/>
                      <w:marRight w:val="0"/>
                      <w:marTop w:val="0"/>
                      <w:marBottom w:val="0"/>
                      <w:divBdr>
                        <w:top w:val="none" w:sz="0" w:space="0" w:color="auto"/>
                        <w:left w:val="none" w:sz="0" w:space="0" w:color="auto"/>
                        <w:bottom w:val="none" w:sz="0" w:space="0" w:color="auto"/>
                        <w:right w:val="none" w:sz="0" w:space="0" w:color="auto"/>
                      </w:divBdr>
                      <w:divsChild>
                        <w:div w:id="1654211549">
                          <w:marLeft w:val="0"/>
                          <w:marRight w:val="0"/>
                          <w:marTop w:val="0"/>
                          <w:marBottom w:val="0"/>
                          <w:divBdr>
                            <w:top w:val="none" w:sz="0" w:space="0" w:color="auto"/>
                            <w:left w:val="none" w:sz="0" w:space="0" w:color="auto"/>
                            <w:bottom w:val="none" w:sz="0" w:space="0" w:color="auto"/>
                            <w:right w:val="none" w:sz="0" w:space="0" w:color="auto"/>
                          </w:divBdr>
                          <w:divsChild>
                            <w:div w:id="1279945441">
                              <w:marLeft w:val="0"/>
                              <w:marRight w:val="0"/>
                              <w:marTop w:val="0"/>
                              <w:marBottom w:val="0"/>
                              <w:divBdr>
                                <w:top w:val="none" w:sz="0" w:space="0" w:color="auto"/>
                                <w:left w:val="none" w:sz="0" w:space="0" w:color="auto"/>
                                <w:bottom w:val="none" w:sz="0" w:space="0" w:color="auto"/>
                                <w:right w:val="none" w:sz="0" w:space="0" w:color="auto"/>
                              </w:divBdr>
                              <w:divsChild>
                                <w:div w:id="2074307737">
                                  <w:marLeft w:val="0"/>
                                  <w:marRight w:val="0"/>
                                  <w:marTop w:val="0"/>
                                  <w:marBottom w:val="0"/>
                                  <w:divBdr>
                                    <w:top w:val="none" w:sz="0" w:space="0" w:color="auto"/>
                                    <w:left w:val="none" w:sz="0" w:space="0" w:color="auto"/>
                                    <w:bottom w:val="none" w:sz="0" w:space="0" w:color="auto"/>
                                    <w:right w:val="none" w:sz="0" w:space="0" w:color="auto"/>
                                  </w:divBdr>
                                  <w:divsChild>
                                    <w:div w:id="8036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1988661">
      <w:bodyDiv w:val="1"/>
      <w:marLeft w:val="0"/>
      <w:marRight w:val="0"/>
      <w:marTop w:val="0"/>
      <w:marBottom w:val="0"/>
      <w:divBdr>
        <w:top w:val="none" w:sz="0" w:space="0" w:color="auto"/>
        <w:left w:val="none" w:sz="0" w:space="0" w:color="auto"/>
        <w:bottom w:val="none" w:sz="0" w:space="0" w:color="auto"/>
        <w:right w:val="none" w:sz="0" w:space="0" w:color="auto"/>
      </w:divBdr>
      <w:divsChild>
        <w:div w:id="1941790903">
          <w:marLeft w:val="0"/>
          <w:marRight w:val="0"/>
          <w:marTop w:val="0"/>
          <w:marBottom w:val="0"/>
          <w:divBdr>
            <w:top w:val="none" w:sz="0" w:space="0" w:color="auto"/>
            <w:left w:val="none" w:sz="0" w:space="0" w:color="auto"/>
            <w:bottom w:val="none" w:sz="0" w:space="0" w:color="auto"/>
            <w:right w:val="none" w:sz="0" w:space="0" w:color="auto"/>
          </w:divBdr>
          <w:divsChild>
            <w:div w:id="1794514422">
              <w:marLeft w:val="0"/>
              <w:marRight w:val="0"/>
              <w:marTop w:val="0"/>
              <w:marBottom w:val="0"/>
              <w:divBdr>
                <w:top w:val="none" w:sz="0" w:space="0" w:color="auto"/>
                <w:left w:val="none" w:sz="0" w:space="0" w:color="auto"/>
                <w:bottom w:val="none" w:sz="0" w:space="0" w:color="auto"/>
                <w:right w:val="none" w:sz="0" w:space="0" w:color="auto"/>
              </w:divBdr>
              <w:divsChild>
                <w:div w:id="741177035">
                  <w:marLeft w:val="0"/>
                  <w:marRight w:val="0"/>
                  <w:marTop w:val="0"/>
                  <w:marBottom w:val="0"/>
                  <w:divBdr>
                    <w:top w:val="none" w:sz="0" w:space="0" w:color="auto"/>
                    <w:left w:val="none" w:sz="0" w:space="0" w:color="auto"/>
                    <w:bottom w:val="none" w:sz="0" w:space="0" w:color="auto"/>
                    <w:right w:val="none" w:sz="0" w:space="0" w:color="auto"/>
                  </w:divBdr>
                  <w:divsChild>
                    <w:div w:id="1835487315">
                      <w:marLeft w:val="0"/>
                      <w:marRight w:val="0"/>
                      <w:marTop w:val="0"/>
                      <w:marBottom w:val="0"/>
                      <w:divBdr>
                        <w:top w:val="none" w:sz="0" w:space="0" w:color="auto"/>
                        <w:left w:val="none" w:sz="0" w:space="0" w:color="auto"/>
                        <w:bottom w:val="none" w:sz="0" w:space="0" w:color="auto"/>
                        <w:right w:val="none" w:sz="0" w:space="0" w:color="auto"/>
                      </w:divBdr>
                      <w:divsChild>
                        <w:div w:id="1193954455">
                          <w:marLeft w:val="0"/>
                          <w:marRight w:val="0"/>
                          <w:marTop w:val="0"/>
                          <w:marBottom w:val="0"/>
                          <w:divBdr>
                            <w:top w:val="none" w:sz="0" w:space="0" w:color="auto"/>
                            <w:left w:val="none" w:sz="0" w:space="0" w:color="auto"/>
                            <w:bottom w:val="none" w:sz="0" w:space="0" w:color="auto"/>
                            <w:right w:val="none" w:sz="0" w:space="0" w:color="auto"/>
                          </w:divBdr>
                          <w:divsChild>
                            <w:div w:id="2051496344">
                              <w:marLeft w:val="0"/>
                              <w:marRight w:val="0"/>
                              <w:marTop w:val="0"/>
                              <w:marBottom w:val="0"/>
                              <w:divBdr>
                                <w:top w:val="none" w:sz="0" w:space="0" w:color="auto"/>
                                <w:left w:val="none" w:sz="0" w:space="0" w:color="auto"/>
                                <w:bottom w:val="none" w:sz="0" w:space="0" w:color="auto"/>
                                <w:right w:val="none" w:sz="0" w:space="0" w:color="auto"/>
                              </w:divBdr>
                              <w:divsChild>
                                <w:div w:id="87124889">
                                  <w:marLeft w:val="0"/>
                                  <w:marRight w:val="0"/>
                                  <w:marTop w:val="0"/>
                                  <w:marBottom w:val="0"/>
                                  <w:divBdr>
                                    <w:top w:val="none" w:sz="0" w:space="0" w:color="auto"/>
                                    <w:left w:val="none" w:sz="0" w:space="0" w:color="auto"/>
                                    <w:bottom w:val="none" w:sz="0" w:space="0" w:color="auto"/>
                                    <w:right w:val="none" w:sz="0" w:space="0" w:color="auto"/>
                                  </w:divBdr>
                                  <w:divsChild>
                                    <w:div w:id="14230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dc.gov/drugresistance" TargetMode="External"/><Relationship Id="rId1" Type="http://schemas.openxmlformats.org/officeDocument/2006/relationships/hyperlink" Target="http://www.nejm.org/doi/full/10.1056/NEJMoa13068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015E3-11BF-4364-A65D-FD4283161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2287</Words>
  <Characters>13036</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Owsiak, Rita</dc:creator>
  <cp:lastModifiedBy>Stuart Bratesman</cp:lastModifiedBy>
  <cp:revision>2</cp:revision>
  <cp:lastPrinted>2015-07-23T19:26:00Z</cp:lastPrinted>
  <dcterms:created xsi:type="dcterms:W3CDTF">2016-01-08T19:46:00Z</dcterms:created>
  <dcterms:modified xsi:type="dcterms:W3CDTF">2016-01-08T19:46:00Z</dcterms:modified>
</cp:coreProperties>
</file>